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2"/>
        <w:gridCol w:w="5352"/>
      </w:tblGrid>
      <w:tr w:rsidR="00612AF9" w:rsidRPr="005A70CA" w14:paraId="281DA166" w14:textId="77777777" w:rsidTr="00612AF9">
        <w:tc>
          <w:tcPr>
            <w:tcW w:w="5352" w:type="dxa"/>
          </w:tcPr>
          <w:p w14:paraId="0BC1948F" w14:textId="77777777" w:rsidR="00C45CB3" w:rsidRDefault="00C45CB3" w:rsidP="00336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REPUBLIKA HRVATSKA</w:t>
            </w:r>
          </w:p>
          <w:p w14:paraId="1C6CDFE2" w14:textId="77777777" w:rsidR="00C45CB3" w:rsidRDefault="00C45CB3" w:rsidP="00336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OSJEČKO-BARANJSKA ŽUPANIJA</w:t>
            </w:r>
          </w:p>
          <w:p w14:paraId="17D5A1D8" w14:textId="77777777" w:rsidR="00C45CB3" w:rsidRDefault="00C45CB3" w:rsidP="00336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 OSIJEK</w:t>
            </w:r>
          </w:p>
          <w:p w14:paraId="79AE8C8B" w14:textId="77777777" w:rsidR="00C45CB3" w:rsidRDefault="00C45CB3" w:rsidP="00336337">
            <w:pPr>
              <w:rPr>
                <w:sz w:val="28"/>
                <w:szCs w:val="28"/>
              </w:rPr>
            </w:pPr>
          </w:p>
          <w:p w14:paraId="3852AFBA" w14:textId="77777777" w:rsidR="00612AF9" w:rsidRPr="005A70CA" w:rsidRDefault="00612AF9" w:rsidP="00336337">
            <w:pPr>
              <w:rPr>
                <w:sz w:val="28"/>
                <w:szCs w:val="28"/>
              </w:rPr>
            </w:pPr>
            <w:r w:rsidRPr="005A70CA">
              <w:rPr>
                <w:sz w:val="28"/>
                <w:szCs w:val="28"/>
              </w:rPr>
              <w:t>Matični broj: 02640651</w:t>
            </w:r>
          </w:p>
          <w:p w14:paraId="572C3687" w14:textId="77777777" w:rsidR="00612AF9" w:rsidRPr="005A70CA" w:rsidRDefault="00612AF9" w:rsidP="00336337">
            <w:pPr>
              <w:rPr>
                <w:sz w:val="28"/>
                <w:szCs w:val="28"/>
              </w:rPr>
            </w:pPr>
            <w:r w:rsidRPr="005A70CA">
              <w:rPr>
                <w:sz w:val="28"/>
                <w:szCs w:val="28"/>
              </w:rPr>
              <w:t>OIB: 30050049642</w:t>
            </w:r>
          </w:p>
          <w:p w14:paraId="5634CF94" w14:textId="77777777" w:rsidR="00612AF9" w:rsidRPr="005A70CA" w:rsidRDefault="00C45CB3" w:rsidP="00336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Šifra djelatnosti</w:t>
            </w:r>
            <w:r w:rsidR="00612AF9" w:rsidRPr="005A70CA">
              <w:rPr>
                <w:sz w:val="28"/>
                <w:szCs w:val="28"/>
              </w:rPr>
              <w:t>: 8411</w:t>
            </w:r>
          </w:p>
          <w:p w14:paraId="430C483E" w14:textId="77777777" w:rsidR="00612AF9" w:rsidRDefault="00612AF9" w:rsidP="00336337">
            <w:pPr>
              <w:rPr>
                <w:sz w:val="28"/>
                <w:szCs w:val="28"/>
              </w:rPr>
            </w:pPr>
            <w:r w:rsidRPr="005A70CA">
              <w:rPr>
                <w:sz w:val="28"/>
                <w:szCs w:val="28"/>
              </w:rPr>
              <w:t>IBAN: HR50 23600001831200002</w:t>
            </w:r>
          </w:p>
          <w:p w14:paraId="493C4671" w14:textId="77777777" w:rsidR="00612AF9" w:rsidRDefault="00612AF9" w:rsidP="00336337">
            <w:pPr>
              <w:rPr>
                <w:sz w:val="28"/>
                <w:szCs w:val="28"/>
              </w:rPr>
            </w:pPr>
          </w:p>
          <w:p w14:paraId="286747AD" w14:textId="77777777" w:rsidR="00612AF9" w:rsidRPr="005A70CA" w:rsidRDefault="00CD00CF" w:rsidP="001D2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Osijeku, </w:t>
            </w:r>
            <w:r w:rsidR="001D2626">
              <w:rPr>
                <w:sz w:val="28"/>
                <w:szCs w:val="28"/>
              </w:rPr>
              <w:t>01</w:t>
            </w:r>
            <w:r w:rsidR="00F364FC">
              <w:rPr>
                <w:sz w:val="28"/>
                <w:szCs w:val="28"/>
              </w:rPr>
              <w:t>.0</w:t>
            </w:r>
            <w:r w:rsidR="001D2626">
              <w:rPr>
                <w:sz w:val="28"/>
                <w:szCs w:val="28"/>
              </w:rPr>
              <w:t>3</w:t>
            </w:r>
            <w:r w:rsidR="00F364FC">
              <w:rPr>
                <w:sz w:val="28"/>
                <w:szCs w:val="28"/>
              </w:rPr>
              <w:t>.202</w:t>
            </w:r>
            <w:r w:rsidR="00F80FEB">
              <w:rPr>
                <w:sz w:val="28"/>
                <w:szCs w:val="28"/>
              </w:rPr>
              <w:t>1</w:t>
            </w:r>
            <w:r w:rsidR="00612AF9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14:paraId="1D357D89" w14:textId="77777777" w:rsidR="00612AF9" w:rsidRPr="005A70CA" w:rsidRDefault="00612AF9" w:rsidP="00336337">
            <w:pPr>
              <w:rPr>
                <w:sz w:val="28"/>
                <w:szCs w:val="28"/>
              </w:rPr>
            </w:pPr>
          </w:p>
        </w:tc>
      </w:tr>
    </w:tbl>
    <w:p w14:paraId="13C59B7A" w14:textId="77777777" w:rsidR="00D80E9F" w:rsidRDefault="00D80E9F" w:rsidP="00D80E9F">
      <w:pPr>
        <w:ind w:firstLine="851"/>
        <w:rPr>
          <w:sz w:val="28"/>
          <w:szCs w:val="28"/>
        </w:rPr>
      </w:pPr>
    </w:p>
    <w:p w14:paraId="1EEA4D7F" w14:textId="77777777" w:rsidR="00805F4C" w:rsidRDefault="00805F4C" w:rsidP="00D80E9F">
      <w:pPr>
        <w:ind w:firstLine="851"/>
        <w:rPr>
          <w:sz w:val="28"/>
          <w:szCs w:val="28"/>
        </w:rPr>
      </w:pPr>
    </w:p>
    <w:p w14:paraId="1DABC121" w14:textId="77777777" w:rsidR="00D80E9F" w:rsidRPr="005A70CA" w:rsidRDefault="00D80E9F" w:rsidP="00D80E9F">
      <w:pPr>
        <w:ind w:firstLine="85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0E9F" w:rsidRPr="005A70CA" w14:paraId="5C3A6C7F" w14:textId="77777777" w:rsidTr="00336337">
        <w:tc>
          <w:tcPr>
            <w:tcW w:w="9288" w:type="dxa"/>
          </w:tcPr>
          <w:p w14:paraId="611CC71C" w14:textId="77777777" w:rsidR="00D80E9F" w:rsidRPr="005A70CA" w:rsidRDefault="00203A20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BILJEŠKE UZ KONSOLIDIRANI</w:t>
            </w:r>
          </w:p>
          <w:p w14:paraId="280F58E3" w14:textId="77777777" w:rsidR="00D80E9F" w:rsidRPr="005A70CA" w:rsidRDefault="00D80E9F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 w:rsidRPr="005A70CA">
              <w:rPr>
                <w:b/>
                <w:bCs/>
                <w:sz w:val="28"/>
                <w:szCs w:val="28"/>
              </w:rPr>
              <w:t>FINANCIJSK</w:t>
            </w:r>
            <w:r w:rsidR="00203A20">
              <w:rPr>
                <w:b/>
                <w:bCs/>
                <w:sz w:val="28"/>
                <w:szCs w:val="28"/>
              </w:rPr>
              <w:t>I</w:t>
            </w:r>
            <w:r w:rsidRPr="005A70CA">
              <w:rPr>
                <w:b/>
                <w:bCs/>
                <w:sz w:val="28"/>
                <w:szCs w:val="28"/>
              </w:rPr>
              <w:t xml:space="preserve"> IZVJEŠ</w:t>
            </w:r>
            <w:r w:rsidR="00203A20">
              <w:rPr>
                <w:b/>
                <w:bCs/>
                <w:sz w:val="28"/>
                <w:szCs w:val="28"/>
              </w:rPr>
              <w:t>TAJ</w:t>
            </w:r>
            <w:r w:rsidRPr="005A70CA">
              <w:rPr>
                <w:b/>
                <w:bCs/>
                <w:sz w:val="28"/>
                <w:szCs w:val="28"/>
              </w:rPr>
              <w:t xml:space="preserve"> GRADA OSIJEKA</w:t>
            </w:r>
          </w:p>
          <w:p w14:paraId="6FD1BC87" w14:textId="77777777" w:rsidR="00D80E9F" w:rsidRPr="005A70CA" w:rsidRDefault="00D80E9F" w:rsidP="00F80FEB">
            <w:pPr>
              <w:jc w:val="center"/>
              <w:rPr>
                <w:b/>
                <w:bCs/>
                <w:sz w:val="28"/>
                <w:szCs w:val="28"/>
              </w:rPr>
            </w:pPr>
            <w:r w:rsidRPr="005A70CA">
              <w:rPr>
                <w:b/>
                <w:bCs/>
                <w:sz w:val="28"/>
                <w:szCs w:val="28"/>
              </w:rPr>
              <w:t xml:space="preserve">ZA RAZDOBLJE 0D </w:t>
            </w:r>
            <w:r w:rsidR="00F364FC">
              <w:rPr>
                <w:b/>
                <w:bCs/>
                <w:sz w:val="28"/>
                <w:szCs w:val="28"/>
              </w:rPr>
              <w:t xml:space="preserve"> 1. SIJEČNJA DO 31.PROSINCA 20</w:t>
            </w:r>
            <w:r w:rsidR="00F80FEB">
              <w:rPr>
                <w:b/>
                <w:bCs/>
                <w:sz w:val="28"/>
                <w:szCs w:val="28"/>
              </w:rPr>
              <w:t>20</w:t>
            </w:r>
            <w:r w:rsidRPr="005A70CA">
              <w:rPr>
                <w:b/>
                <w:bCs/>
                <w:sz w:val="28"/>
                <w:szCs w:val="28"/>
              </w:rPr>
              <w:t>. GODINE</w:t>
            </w:r>
          </w:p>
        </w:tc>
      </w:tr>
    </w:tbl>
    <w:p w14:paraId="48611BE1" w14:textId="77777777" w:rsidR="00D80E9F" w:rsidRPr="005A70CA" w:rsidRDefault="00D80E9F" w:rsidP="00D80E9F">
      <w:pPr>
        <w:ind w:firstLine="851"/>
        <w:rPr>
          <w:sz w:val="28"/>
          <w:szCs w:val="28"/>
        </w:rPr>
      </w:pPr>
    </w:p>
    <w:p w14:paraId="5077551D" w14:textId="77777777" w:rsidR="00805F4C" w:rsidRPr="005A70CA" w:rsidRDefault="00805F4C" w:rsidP="00D80E9F">
      <w:pPr>
        <w:ind w:firstLine="851"/>
        <w:rPr>
          <w:sz w:val="28"/>
          <w:szCs w:val="28"/>
        </w:rPr>
      </w:pPr>
    </w:p>
    <w:p w14:paraId="0D09133A" w14:textId="77777777" w:rsidR="00D80E9F" w:rsidRPr="006A5979" w:rsidRDefault="006D7D3A" w:rsidP="00D80E9F">
      <w:pPr>
        <w:ind w:firstLine="851"/>
        <w:jc w:val="both"/>
        <w:rPr>
          <w:highlight w:val="yellow"/>
        </w:rPr>
      </w:pPr>
      <w:r w:rsidRPr="009B0809">
        <w:t xml:space="preserve">Konsolidirani </w:t>
      </w:r>
      <w:r w:rsidR="00F80FEB">
        <w:t xml:space="preserve">financijski izvještaj Grada Osijeka sastavljen je  sukladno odredbama Pravilnika o financijskom izvještavanju u proračunskom računovodstvu (Narodne novine broj 03/15, </w:t>
      </w:r>
      <w:r w:rsidR="00F80FEB" w:rsidRPr="00C6039F">
        <w:t xml:space="preserve">93/15, 135/15, 2/17, </w:t>
      </w:r>
      <w:r w:rsidR="00F80FEB" w:rsidRPr="00C6039F">
        <w:rPr>
          <w:bCs/>
        </w:rPr>
        <w:t>28/17, 112/18</w:t>
      </w:r>
      <w:r w:rsidR="00F80FEB">
        <w:rPr>
          <w:bCs/>
        </w:rPr>
        <w:t>,</w:t>
      </w:r>
      <w:r w:rsidR="00F80FEB" w:rsidRPr="00C6039F">
        <w:rPr>
          <w:bCs/>
        </w:rPr>
        <w:t xml:space="preserve"> 126/19</w:t>
      </w:r>
      <w:r w:rsidR="00F80FEB">
        <w:rPr>
          <w:bCs/>
        </w:rPr>
        <w:t xml:space="preserve"> i 145/20</w:t>
      </w:r>
      <w:r w:rsidR="00F80FEB">
        <w:t>) 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2020. (KLASA: 400-02/20-01/29, URBROJ: 513-05-03-</w:t>
      </w:r>
      <w:r w:rsidR="00F80FEB" w:rsidRPr="007469E8">
        <w:t>20-</w:t>
      </w:r>
      <w:r w:rsidR="00E47D8E" w:rsidRPr="007469E8">
        <w:t>12</w:t>
      </w:r>
      <w:r w:rsidR="00F80FEB" w:rsidRPr="007469E8">
        <w:t>)</w:t>
      </w:r>
      <w:r w:rsidR="00F80FEB">
        <w:t xml:space="preserve"> od 30. prosinca 2020.</w:t>
      </w:r>
      <w:r w:rsidR="00D80E9F" w:rsidRPr="009B0809">
        <w:t xml:space="preserve"> </w:t>
      </w:r>
      <w:r w:rsidRPr="009B0809">
        <w:t>Konsolidirani f</w:t>
      </w:r>
      <w:r w:rsidR="00D80E9F" w:rsidRPr="009B0809">
        <w:t>inancijski izvještaj sastoji se od sljedećih obrazaca: Bilanca (Obrazac BIL), Izvještaj o prohodima i rashodima, primicima i izdacima (Obrazac PR-RAS), Izvještaja o rashodima prema funkcijskoj klasifikaciji (Obrazac RAS-funkcijski), Izvještaja o promjenama u vrijednosti i obujmu imovine i obveza (Obrazac P-VRIO), Izvještaja o</w:t>
      </w:r>
      <w:r w:rsidR="000D27C8">
        <w:t xml:space="preserve"> obvezama (Obrazac OBVEZE) i Bil</w:t>
      </w:r>
      <w:r w:rsidR="00D80E9F" w:rsidRPr="009B0809">
        <w:t>ješki.</w:t>
      </w:r>
    </w:p>
    <w:p w14:paraId="30335BCF" w14:textId="77777777" w:rsidR="00D80E9F" w:rsidRPr="009B0809" w:rsidRDefault="00D80E9F" w:rsidP="00D80E9F">
      <w:pPr>
        <w:jc w:val="both"/>
      </w:pPr>
    </w:p>
    <w:p w14:paraId="3D55CF78" w14:textId="77777777" w:rsidR="00D80E9F" w:rsidRPr="009B0809" w:rsidRDefault="00D80E9F" w:rsidP="00D80E9F">
      <w:pPr>
        <w:jc w:val="both"/>
        <w:rPr>
          <w:iCs/>
        </w:rPr>
      </w:pPr>
      <w:r w:rsidRPr="009B0809">
        <w:tab/>
      </w:r>
      <w:r w:rsidRPr="009B0809">
        <w:rPr>
          <w:iCs/>
        </w:rPr>
        <w:t>Ovim izvještajem iskazani  su ukupni prihodi i primici, rashodi i izdaci Grada Osijeka i prihodi i primici, rashodi i izdaci proračunskih korisnika Grada Osijeka i to u dijelu koji se odnosi na financiranje iz Proračuna Grada Osijeka te vlastite prihode i ostale prihode  kao i rashode i</w:t>
      </w:r>
      <w:r w:rsidR="001E64A8" w:rsidRPr="009B0809">
        <w:rPr>
          <w:iCs/>
        </w:rPr>
        <w:t xml:space="preserve"> izdatke financirane iz istih, </w:t>
      </w:r>
      <w:r w:rsidRPr="009B0809">
        <w:rPr>
          <w:iCs/>
        </w:rPr>
        <w:t>stanje obveza kao i drugi traženi podaci vezani za Grad Osijek i proračunske korisnike Grada Osijeka.</w:t>
      </w:r>
    </w:p>
    <w:p w14:paraId="2004FC12" w14:textId="77777777" w:rsidR="00D80E9F" w:rsidRPr="006A5979" w:rsidRDefault="00D80E9F" w:rsidP="00D80E9F">
      <w:pPr>
        <w:jc w:val="both"/>
        <w:rPr>
          <w:iCs/>
          <w:highlight w:val="yellow"/>
        </w:rPr>
      </w:pPr>
    </w:p>
    <w:p w14:paraId="7A471155" w14:textId="77777777" w:rsidR="00D80E9F" w:rsidRPr="009B0809" w:rsidRDefault="001E64A8" w:rsidP="00D80E9F">
      <w:pPr>
        <w:jc w:val="both"/>
        <w:rPr>
          <w:iCs/>
        </w:rPr>
      </w:pPr>
      <w:r w:rsidRPr="009B0809">
        <w:rPr>
          <w:iCs/>
        </w:rPr>
        <w:tab/>
        <w:t>Izvještajem su obuhvaćeni sl</w:t>
      </w:r>
      <w:r w:rsidR="00D80E9F" w:rsidRPr="009B0809">
        <w:rPr>
          <w:iCs/>
        </w:rPr>
        <w:t>jedeći korisnici Proračuna Grada Osijeka</w:t>
      </w:r>
      <w:r w:rsidR="006D7D3A" w:rsidRPr="009B0809">
        <w:rPr>
          <w:iCs/>
        </w:rPr>
        <w:t xml:space="preserve"> navedeni u Registru proračunskih i izvanproračunskih korisnika</w:t>
      </w:r>
      <w:r w:rsidR="00D80E9F" w:rsidRPr="009B0809">
        <w:rPr>
          <w:iCs/>
        </w:rPr>
        <w:t>:</w:t>
      </w:r>
    </w:p>
    <w:p w14:paraId="1370DF12" w14:textId="77777777" w:rsidR="00D80E9F" w:rsidRPr="009B0809" w:rsidRDefault="00D80E9F" w:rsidP="00D80E9F">
      <w:pPr>
        <w:jc w:val="both"/>
        <w:rPr>
          <w:iCs/>
        </w:rPr>
      </w:pPr>
    </w:p>
    <w:p w14:paraId="6C2A6C4F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Hrvatsko narodno kazalište u Osijeku</w:t>
      </w:r>
    </w:p>
    <w:p w14:paraId="328A0A70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Dječje kazalište</w:t>
      </w:r>
      <w:r w:rsidR="00A24715">
        <w:rPr>
          <w:iCs/>
        </w:rPr>
        <w:t xml:space="preserve"> Branka Mihaljevića</w:t>
      </w:r>
      <w:r w:rsidRPr="009B0809">
        <w:rPr>
          <w:iCs/>
        </w:rPr>
        <w:t xml:space="preserve"> u Osijeku</w:t>
      </w:r>
    </w:p>
    <w:p w14:paraId="74BF285A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Dječji vrtić Osijek</w:t>
      </w:r>
    </w:p>
    <w:p w14:paraId="647BF157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Javna profesionalna vatrogasna postrojba Grada Osijeka</w:t>
      </w:r>
    </w:p>
    <w:p w14:paraId="01E67F22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lastRenderedPageBreak/>
        <w:t>Gradske galerije Osijek</w:t>
      </w:r>
    </w:p>
    <w:p w14:paraId="02A7FDBE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Antun Mihanović</w:t>
      </w:r>
    </w:p>
    <w:p w14:paraId="01BE12F5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August Šenoa</w:t>
      </w:r>
    </w:p>
    <w:p w14:paraId="73E9FC90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Dobriše Cesarića</w:t>
      </w:r>
    </w:p>
    <w:p w14:paraId="728B2865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Grigor Vitez</w:t>
      </w:r>
    </w:p>
    <w:p w14:paraId="5F99AD24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Franjo Krežma</w:t>
      </w:r>
    </w:p>
    <w:p w14:paraId="2594210F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Ivan Filipović</w:t>
      </w:r>
    </w:p>
    <w:p w14:paraId="3EC51444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Ljudevit Gaj</w:t>
      </w:r>
    </w:p>
    <w:p w14:paraId="29A74A0C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Fran Krsto Frankopan</w:t>
      </w:r>
    </w:p>
    <w:p w14:paraId="11D083EE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Mladost</w:t>
      </w:r>
    </w:p>
    <w:p w14:paraId="07620593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Tenja</w:t>
      </w:r>
    </w:p>
    <w:p w14:paraId="567C9026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Vladimir Becić</w:t>
      </w:r>
    </w:p>
    <w:p w14:paraId="03B2E10B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Jagoda Truhelka</w:t>
      </w:r>
    </w:p>
    <w:p w14:paraId="0070114E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Josipovac</w:t>
      </w:r>
    </w:p>
    <w:p w14:paraId="66549A8D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Retfala</w:t>
      </w:r>
    </w:p>
    <w:p w14:paraId="56B9FC6C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Tin Ujević</w:t>
      </w:r>
    </w:p>
    <w:p w14:paraId="3815A170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Sveta Ana</w:t>
      </w:r>
    </w:p>
    <w:p w14:paraId="30DF163D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Vijenac</w:t>
      </w:r>
    </w:p>
    <w:p w14:paraId="7964DFBF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OŠ Višnjevac</w:t>
      </w:r>
    </w:p>
    <w:p w14:paraId="2DE8AE6E" w14:textId="77777777" w:rsidR="00D80E9F" w:rsidRPr="009B0809" w:rsidRDefault="001E64A8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Prosvjetno-kulturni centar M</w:t>
      </w:r>
      <w:r w:rsidR="00D80E9F" w:rsidRPr="009B0809">
        <w:rPr>
          <w:iCs/>
        </w:rPr>
        <w:t>ađara u RH</w:t>
      </w:r>
    </w:p>
    <w:p w14:paraId="5278782B" w14:textId="77777777" w:rsidR="00D80E9F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Centar za odgoj i obrazovanje Ivan Štark</w:t>
      </w:r>
    </w:p>
    <w:p w14:paraId="72A6EB06" w14:textId="77777777" w:rsidR="00476C79" w:rsidRDefault="00476C79" w:rsidP="00D80E9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Agencija za obnovu osječke Tvrđe</w:t>
      </w:r>
    </w:p>
    <w:p w14:paraId="08934A7B" w14:textId="77777777" w:rsidR="00476C79" w:rsidRPr="009B0809" w:rsidRDefault="00476C79" w:rsidP="00D80E9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Kulturni centar Osijek</w:t>
      </w:r>
    </w:p>
    <w:p w14:paraId="159D098F" w14:textId="77777777" w:rsidR="00D80E9F" w:rsidRPr="009B0809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B0809">
        <w:rPr>
          <w:iCs/>
        </w:rPr>
        <w:t>Vijeća nacionalnih manjina Grada Osijeka</w:t>
      </w:r>
    </w:p>
    <w:p w14:paraId="44846141" w14:textId="77777777" w:rsidR="005A70CA" w:rsidRPr="006A5979" w:rsidRDefault="005A70CA" w:rsidP="005A70CA">
      <w:pPr>
        <w:jc w:val="both"/>
        <w:rPr>
          <w:iCs/>
          <w:highlight w:val="yellow"/>
        </w:rPr>
      </w:pPr>
    </w:p>
    <w:p w14:paraId="2593DE32" w14:textId="77777777" w:rsidR="00D80E9F" w:rsidRPr="006A5979" w:rsidRDefault="00D80E9F" w:rsidP="00D80E9F">
      <w:pPr>
        <w:ind w:firstLine="708"/>
        <w:jc w:val="both"/>
        <w:rPr>
          <w:iCs/>
          <w:highlight w:val="yellow"/>
        </w:rPr>
      </w:pPr>
    </w:p>
    <w:p w14:paraId="34BFE700" w14:textId="77777777" w:rsidR="00805F4C" w:rsidRDefault="00805F4C" w:rsidP="005A7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0DC5BD" w14:textId="77777777" w:rsidR="005A70CA" w:rsidRPr="008F65E1" w:rsidRDefault="005A70CA" w:rsidP="005A70CA">
      <w:pPr>
        <w:jc w:val="center"/>
        <w:rPr>
          <w:b/>
          <w:sz w:val="28"/>
          <w:szCs w:val="28"/>
        </w:rPr>
      </w:pPr>
      <w:r w:rsidRPr="008F65E1">
        <w:rPr>
          <w:b/>
          <w:sz w:val="28"/>
          <w:szCs w:val="28"/>
        </w:rPr>
        <w:lastRenderedPageBreak/>
        <w:t>BILJEŠKE UZ IZVJEŠTAJ O PRIHODIMA I RASHODIMA,</w:t>
      </w:r>
    </w:p>
    <w:p w14:paraId="4867BC3A" w14:textId="77777777" w:rsidR="005A70CA" w:rsidRPr="008F65E1" w:rsidRDefault="005A70CA" w:rsidP="005A70CA">
      <w:pPr>
        <w:jc w:val="center"/>
        <w:rPr>
          <w:b/>
          <w:sz w:val="28"/>
          <w:szCs w:val="28"/>
        </w:rPr>
      </w:pPr>
      <w:r w:rsidRPr="008F65E1">
        <w:rPr>
          <w:b/>
          <w:sz w:val="28"/>
          <w:szCs w:val="28"/>
        </w:rPr>
        <w:t>PRIMICIMA I IZDACIMA</w:t>
      </w:r>
    </w:p>
    <w:p w14:paraId="4EACCB5F" w14:textId="77777777" w:rsidR="005A70CA" w:rsidRPr="003C4B90" w:rsidRDefault="005A70CA" w:rsidP="005A70CA">
      <w:pPr>
        <w:jc w:val="both"/>
        <w:rPr>
          <w:b/>
          <w:sz w:val="28"/>
          <w:szCs w:val="28"/>
          <w:highlight w:val="yellow"/>
        </w:rPr>
      </w:pPr>
    </w:p>
    <w:p w14:paraId="5602CE3B" w14:textId="77777777" w:rsidR="008F65E1" w:rsidRPr="003C4B90" w:rsidRDefault="008F65E1" w:rsidP="005A70CA">
      <w:pPr>
        <w:jc w:val="both"/>
        <w:rPr>
          <w:b/>
          <w:sz w:val="28"/>
          <w:szCs w:val="28"/>
          <w:highlight w:val="yellow"/>
        </w:rPr>
      </w:pPr>
    </w:p>
    <w:p w14:paraId="44AE9BA7" w14:textId="77777777" w:rsidR="00D80E9F" w:rsidRDefault="00D80E9F" w:rsidP="00D80E9F">
      <w:pPr>
        <w:ind w:firstLine="708"/>
        <w:jc w:val="both"/>
        <w:rPr>
          <w:iCs/>
        </w:rPr>
      </w:pPr>
      <w:r w:rsidRPr="008F65E1">
        <w:rPr>
          <w:iCs/>
        </w:rPr>
        <w:t>Zakonskim propisima regulirano je sudjelovanje jedinica lokalne samouprave u financiranju djelatnosti svojih  proračunskih korisnika.</w:t>
      </w:r>
    </w:p>
    <w:p w14:paraId="799636EC" w14:textId="77777777" w:rsidR="008F65E1" w:rsidRPr="008F65E1" w:rsidRDefault="00DE7ADE" w:rsidP="008F65E1">
      <w:pPr>
        <w:ind w:firstLine="708"/>
        <w:jc w:val="both"/>
        <w:rPr>
          <w:iCs/>
        </w:rPr>
      </w:pPr>
      <w:r>
        <w:rPr>
          <w:iCs/>
        </w:rPr>
        <w:t>Konsolidirani izvještaj sadrži sve prihode i primitke, rashode i izdatke Grada Osijeka i proračunskih korisnika Grada Osijeka, uključujući</w:t>
      </w:r>
      <w:r w:rsidR="008F65E1" w:rsidRPr="008F65E1">
        <w:rPr>
          <w:iCs/>
        </w:rPr>
        <w:t xml:space="preserve"> prihod</w:t>
      </w:r>
      <w:r>
        <w:rPr>
          <w:iCs/>
        </w:rPr>
        <w:t>e</w:t>
      </w:r>
      <w:r w:rsidR="008F65E1" w:rsidRPr="008F65E1">
        <w:rPr>
          <w:iCs/>
        </w:rPr>
        <w:t xml:space="preserve"> od Ministarstva znanosti, obrazovanja i sporta za plaće i materijalne rashode osnovnih škola.</w:t>
      </w:r>
    </w:p>
    <w:p w14:paraId="12C5F319" w14:textId="77777777" w:rsidR="008F65E1" w:rsidRPr="008F65E1" w:rsidRDefault="008F65E1" w:rsidP="00D80E9F">
      <w:pPr>
        <w:ind w:firstLine="708"/>
        <w:jc w:val="both"/>
        <w:rPr>
          <w:iCs/>
        </w:rPr>
      </w:pPr>
    </w:p>
    <w:p w14:paraId="4F0BC732" w14:textId="77777777" w:rsidR="008F65E1" w:rsidRDefault="00C12702" w:rsidP="00D80E9F">
      <w:pPr>
        <w:ind w:firstLine="708"/>
        <w:jc w:val="both"/>
        <w:rPr>
          <w:iCs/>
        </w:rPr>
      </w:pPr>
      <w:r>
        <w:rPr>
          <w:iCs/>
        </w:rPr>
        <w:t>U nastavku dajemo usporedni pregled u</w:t>
      </w:r>
      <w:r w:rsidR="008F65E1">
        <w:rPr>
          <w:iCs/>
        </w:rPr>
        <w:t>kupno ostvareni</w:t>
      </w:r>
      <w:r>
        <w:rPr>
          <w:iCs/>
        </w:rPr>
        <w:t>h</w:t>
      </w:r>
      <w:r w:rsidR="008F65E1">
        <w:rPr>
          <w:iCs/>
        </w:rPr>
        <w:t xml:space="preserve"> prihod</w:t>
      </w:r>
      <w:r>
        <w:rPr>
          <w:iCs/>
        </w:rPr>
        <w:t>a</w:t>
      </w:r>
      <w:r w:rsidR="008F65E1">
        <w:rPr>
          <w:iCs/>
        </w:rPr>
        <w:t xml:space="preserve"> i primi</w:t>
      </w:r>
      <w:r>
        <w:rPr>
          <w:iCs/>
        </w:rPr>
        <w:t>taka</w:t>
      </w:r>
      <w:r w:rsidR="008F65E1">
        <w:rPr>
          <w:iCs/>
        </w:rPr>
        <w:t xml:space="preserve"> te izv</w:t>
      </w:r>
      <w:r w:rsidR="009257D9">
        <w:rPr>
          <w:iCs/>
        </w:rPr>
        <w:t>ršeni</w:t>
      </w:r>
      <w:r>
        <w:rPr>
          <w:iCs/>
        </w:rPr>
        <w:t>h</w:t>
      </w:r>
      <w:r w:rsidR="009257D9">
        <w:rPr>
          <w:iCs/>
        </w:rPr>
        <w:t xml:space="preserve"> rashod</w:t>
      </w:r>
      <w:r>
        <w:rPr>
          <w:iCs/>
        </w:rPr>
        <w:t>a</w:t>
      </w:r>
      <w:r w:rsidR="009257D9">
        <w:rPr>
          <w:iCs/>
        </w:rPr>
        <w:t xml:space="preserve"> i izda</w:t>
      </w:r>
      <w:r>
        <w:rPr>
          <w:iCs/>
        </w:rPr>
        <w:t>taka</w:t>
      </w:r>
      <w:r w:rsidR="009257D9">
        <w:rPr>
          <w:iCs/>
        </w:rPr>
        <w:t xml:space="preserve"> u</w:t>
      </w:r>
      <w:r>
        <w:rPr>
          <w:iCs/>
        </w:rPr>
        <w:t xml:space="preserve"> 201</w:t>
      </w:r>
      <w:r w:rsidR="00DE7ADE">
        <w:rPr>
          <w:iCs/>
        </w:rPr>
        <w:t>9</w:t>
      </w:r>
      <w:r>
        <w:rPr>
          <w:iCs/>
        </w:rPr>
        <w:t>.</w:t>
      </w:r>
      <w:r w:rsidR="0056786C">
        <w:rPr>
          <w:iCs/>
        </w:rPr>
        <w:t xml:space="preserve"> </w:t>
      </w:r>
      <w:r w:rsidR="000D6AFC">
        <w:rPr>
          <w:iCs/>
        </w:rPr>
        <w:t xml:space="preserve">i </w:t>
      </w:r>
      <w:r w:rsidR="0056786C">
        <w:rPr>
          <w:iCs/>
        </w:rPr>
        <w:t>20</w:t>
      </w:r>
      <w:r w:rsidR="00DE7ADE">
        <w:rPr>
          <w:iCs/>
        </w:rPr>
        <w:t>20</w:t>
      </w:r>
      <w:r w:rsidR="0056786C">
        <w:rPr>
          <w:iCs/>
        </w:rPr>
        <w:t>.</w:t>
      </w:r>
      <w:r w:rsidR="008F65E1">
        <w:rPr>
          <w:iCs/>
        </w:rPr>
        <w:t>:</w:t>
      </w:r>
    </w:p>
    <w:p w14:paraId="11E59D16" w14:textId="77777777" w:rsidR="008F65E1" w:rsidRDefault="008F65E1" w:rsidP="00D80E9F">
      <w:pPr>
        <w:ind w:firstLine="708"/>
        <w:jc w:val="both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92"/>
        <w:gridCol w:w="1764"/>
        <w:gridCol w:w="1764"/>
      </w:tblGrid>
      <w:tr w:rsidR="00DE7ADE" w:rsidRPr="008F65E1" w14:paraId="0E61535E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1941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7D984D" w14:textId="77777777" w:rsidR="00DE7ADE" w:rsidRPr="008F65E1" w:rsidRDefault="00DE7ADE" w:rsidP="009257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2019.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87299" w14:textId="77777777" w:rsidR="00DE7ADE" w:rsidRDefault="00DE7ADE" w:rsidP="009257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2020.</w:t>
            </w:r>
          </w:p>
        </w:tc>
      </w:tr>
      <w:tr w:rsidR="00DE7ADE" w:rsidRPr="008F65E1" w14:paraId="36AD361A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52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7723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622.948.242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2EBD7E90" w14:textId="77777777" w:rsidR="00DE7ADE" w:rsidRDefault="006952DA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637.353.134</w:t>
            </w:r>
          </w:p>
        </w:tc>
      </w:tr>
      <w:tr w:rsidR="00DE7ADE" w:rsidRPr="008F65E1" w14:paraId="606D7322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A7B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0BA8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523.626.548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E32DDA2" w14:textId="77777777" w:rsidR="00DE7ADE" w:rsidRDefault="006952DA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531.962.170</w:t>
            </w:r>
          </w:p>
        </w:tc>
      </w:tr>
      <w:tr w:rsidR="00DE7ADE" w:rsidRPr="008F65E1" w14:paraId="3D7BFE05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C3AE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CEDCC5D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99.321.694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9C60A09" w14:textId="77777777" w:rsidR="00DE7ADE" w:rsidRDefault="006952DA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105.390.964</w:t>
            </w:r>
          </w:p>
        </w:tc>
      </w:tr>
      <w:tr w:rsidR="00DE7ADE" w:rsidRPr="008F65E1" w14:paraId="1D03363C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E4E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94408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533BDC0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50A93592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A37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Prihodi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AF39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8.253.327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85FDCDF" w14:textId="77777777" w:rsidR="00DE7ADE" w:rsidRDefault="006952DA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6.896.176</w:t>
            </w:r>
          </w:p>
        </w:tc>
      </w:tr>
      <w:tr w:rsidR="00DE7ADE" w:rsidRPr="008F65E1" w14:paraId="26F1E6FF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4B9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Rashodi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E926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126.326.301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31B3CA1" w14:textId="77777777" w:rsidR="00DE7ADE" w:rsidRDefault="006952DA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138.302.202</w:t>
            </w:r>
          </w:p>
        </w:tc>
      </w:tr>
      <w:tr w:rsidR="00DE7ADE" w:rsidRPr="008F65E1" w14:paraId="50F1D228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9DCE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5ADA128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-118.072.974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010C53A7" w14:textId="77777777" w:rsidR="00DE7ADE" w:rsidRDefault="006952DA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-131.406.026</w:t>
            </w:r>
          </w:p>
        </w:tc>
      </w:tr>
      <w:tr w:rsidR="00DE7ADE" w:rsidRPr="008F65E1" w14:paraId="70F00860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3FA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F543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1E63ACFC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22174EA7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9FE" w14:textId="77777777" w:rsidR="00DE7ADE" w:rsidRPr="008F65E1" w:rsidRDefault="00DE7ADE" w:rsidP="009257D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višak/manjak prihoda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C83AD7F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-18.751.280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42A3D460" w14:textId="77777777" w:rsidR="00DE7ADE" w:rsidRDefault="006952DA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-26.015.062</w:t>
            </w:r>
          </w:p>
        </w:tc>
      </w:tr>
      <w:tr w:rsidR="00DE7ADE" w:rsidRPr="008F65E1" w14:paraId="3B991F9B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2618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6739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7B77BCF6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286778F7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90F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Primici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B6CA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59.982.444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9E2446A" w14:textId="77777777" w:rsidR="00DE7ADE" w:rsidRDefault="006952DA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49.527.068</w:t>
            </w:r>
          </w:p>
        </w:tc>
      </w:tr>
      <w:tr w:rsidR="00DE7ADE" w:rsidRPr="008F65E1" w14:paraId="44DB95CB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922" w14:textId="77777777" w:rsidR="00DE7ADE" w:rsidRPr="008F65E1" w:rsidRDefault="00DE7ADE" w:rsidP="00925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color w:val="000000"/>
                <w:sz w:val="22"/>
                <w:szCs w:val="22"/>
              </w:rPr>
              <w:t>Izdaci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6092F" w14:textId="77777777" w:rsidR="00DE7ADE" w:rsidRPr="008F65E1" w:rsidRDefault="00DE7AD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18.053.078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09AFCA8" w14:textId="77777777" w:rsidR="00DE7ADE" w:rsidRDefault="00350CFE" w:rsidP="009257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20.740.591</w:t>
            </w:r>
          </w:p>
        </w:tc>
      </w:tr>
      <w:tr w:rsidR="00DE7ADE" w:rsidRPr="008F65E1" w14:paraId="658FBF25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61A4" w14:textId="77777777" w:rsidR="00DE7ADE" w:rsidRPr="008F65E1" w:rsidRDefault="00DE7ADE" w:rsidP="009257D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manjak/ višak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DC4A2B3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41.929.366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3BA289DD" w14:textId="77777777" w:rsidR="00DE7ADE" w:rsidRDefault="00350CF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28.786.477</w:t>
            </w:r>
          </w:p>
        </w:tc>
      </w:tr>
      <w:tr w:rsidR="00DE7ADE" w:rsidRPr="008F65E1" w14:paraId="46BC4CC9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E2CE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DD60D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82962B3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46EFF217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9A1B" w14:textId="77777777" w:rsidR="00DE7ADE" w:rsidRPr="008F65E1" w:rsidRDefault="00DE7ADE" w:rsidP="009257D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Višak prihoda i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1D56C48B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23.178.086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4BECDF5" w14:textId="77777777" w:rsidR="00DE7ADE" w:rsidRDefault="00350CF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2.771.415</w:t>
            </w:r>
          </w:p>
        </w:tc>
      </w:tr>
      <w:tr w:rsidR="00DE7ADE" w:rsidRPr="008F65E1" w14:paraId="50179012" w14:textId="77777777" w:rsidTr="00DE7ADE">
        <w:trPr>
          <w:trHeight w:val="315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3E22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A021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816DC8A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72608F85" w14:textId="77777777" w:rsidTr="00DE7ADE">
        <w:trPr>
          <w:trHeight w:val="300"/>
        </w:trPr>
        <w:tc>
          <w:tcPr>
            <w:tcW w:w="3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ED8A2" w14:textId="77777777" w:rsidR="00DE7ADE" w:rsidRPr="008F65E1" w:rsidRDefault="00DE7ADE" w:rsidP="009257D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Preneseni manjak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 višak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98D60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4.672.720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18380" w14:textId="77777777" w:rsidR="00597563" w:rsidRDefault="00597563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7C5EA76E" w14:textId="77777777" w:rsidR="00DE7ADE" w:rsidRDefault="00350CF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</w:t>
            </w:r>
            <w:r w:rsidR="0059756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420.364</w:t>
            </w:r>
          </w:p>
          <w:p w14:paraId="564A104F" w14:textId="77777777" w:rsidR="00597563" w:rsidRDefault="00597563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7ADE" w:rsidRPr="008F65E1" w14:paraId="254CBAD1" w14:textId="77777777" w:rsidTr="00DE7ADE">
        <w:trPr>
          <w:trHeight w:val="300"/>
        </w:trPr>
        <w:tc>
          <w:tcPr>
            <w:tcW w:w="3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5F0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81583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73DDF6AA" w14:textId="77777777" w:rsidR="00DE7ADE" w:rsidRPr="008F65E1" w:rsidRDefault="00DE7ADE" w:rsidP="009257D9">
            <w:pPr>
              <w:rPr>
                <w:sz w:val="20"/>
                <w:szCs w:val="20"/>
              </w:rPr>
            </w:pPr>
          </w:p>
        </w:tc>
      </w:tr>
      <w:tr w:rsidR="00DE7ADE" w:rsidRPr="008F65E1" w14:paraId="7CE5F666" w14:textId="77777777" w:rsidTr="00DE7ADE">
        <w:trPr>
          <w:trHeight w:val="315"/>
        </w:trPr>
        <w:tc>
          <w:tcPr>
            <w:tcW w:w="316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79C80" w14:textId="77777777" w:rsidR="00DE7ADE" w:rsidRPr="008F65E1" w:rsidRDefault="00DE7ADE" w:rsidP="009257D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F65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Manjak/ višak prihoda raspoloživ u sljedećem razdoblju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82B934C" w14:textId="77777777" w:rsidR="00DE7ADE" w:rsidRPr="008F65E1" w:rsidRDefault="00DE7ADE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27.850.806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ABE984F" w14:textId="77777777" w:rsidR="00DE7ADE" w:rsidRDefault="00597563" w:rsidP="009257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31.191.779</w:t>
            </w:r>
          </w:p>
        </w:tc>
      </w:tr>
    </w:tbl>
    <w:p w14:paraId="1D2A8FE2" w14:textId="77777777" w:rsidR="008F65E1" w:rsidRDefault="008F65E1" w:rsidP="00D80E9F">
      <w:pPr>
        <w:ind w:firstLine="708"/>
        <w:jc w:val="both"/>
        <w:rPr>
          <w:iCs/>
        </w:rPr>
      </w:pPr>
    </w:p>
    <w:p w14:paraId="04DE8914" w14:textId="77777777" w:rsidR="008F65E1" w:rsidRPr="008F65E1" w:rsidRDefault="008F65E1" w:rsidP="00D80E9F">
      <w:pPr>
        <w:ind w:firstLine="708"/>
        <w:jc w:val="both"/>
        <w:rPr>
          <w:iCs/>
        </w:rPr>
      </w:pPr>
    </w:p>
    <w:p w14:paraId="683D6BAD" w14:textId="77777777" w:rsidR="008758D0" w:rsidRPr="00BD5C97" w:rsidRDefault="008758D0" w:rsidP="00D80E9F">
      <w:pPr>
        <w:ind w:firstLine="708"/>
        <w:jc w:val="both"/>
        <w:rPr>
          <w:iCs/>
        </w:rPr>
      </w:pPr>
      <w:r w:rsidRPr="00BD5C97">
        <w:rPr>
          <w:iCs/>
        </w:rPr>
        <w:t>Ukupno ostvareni prih</w:t>
      </w:r>
      <w:r w:rsidR="00BD5C97" w:rsidRPr="00BD5C97">
        <w:rPr>
          <w:iCs/>
        </w:rPr>
        <w:t>odi i primici iznose 69</w:t>
      </w:r>
      <w:r w:rsidR="00597563">
        <w:rPr>
          <w:iCs/>
        </w:rPr>
        <w:t>3</w:t>
      </w:r>
      <w:r w:rsidR="00BD5C97" w:rsidRPr="00BD5C97">
        <w:rPr>
          <w:iCs/>
        </w:rPr>
        <w:t>.</w:t>
      </w:r>
      <w:r w:rsidR="00597563">
        <w:rPr>
          <w:iCs/>
        </w:rPr>
        <w:t>776</w:t>
      </w:r>
      <w:r w:rsidR="00BD5C97" w:rsidRPr="00BD5C97">
        <w:rPr>
          <w:iCs/>
        </w:rPr>
        <w:t>.</w:t>
      </w:r>
      <w:r w:rsidR="00597563">
        <w:rPr>
          <w:iCs/>
        </w:rPr>
        <w:t>378</w:t>
      </w:r>
      <w:r w:rsidRPr="00BD5C97">
        <w:rPr>
          <w:iCs/>
        </w:rPr>
        <w:t xml:space="preserve"> kn</w:t>
      </w:r>
      <w:r w:rsidR="00597563">
        <w:rPr>
          <w:iCs/>
        </w:rPr>
        <w:t xml:space="preserve"> što je 0,4% više u odnosu na 2019.</w:t>
      </w:r>
      <w:r w:rsidR="00CB048D">
        <w:rPr>
          <w:iCs/>
        </w:rPr>
        <w:t xml:space="preserve"> </w:t>
      </w:r>
      <w:r w:rsidRPr="00BD5C97">
        <w:rPr>
          <w:iCs/>
        </w:rPr>
        <w:t>Rashodi i izdaci iz</w:t>
      </w:r>
      <w:r w:rsidR="00BD5C97" w:rsidRPr="00BD5C97">
        <w:rPr>
          <w:iCs/>
        </w:rPr>
        <w:t>vršeni su u svoti od 6</w:t>
      </w:r>
      <w:r w:rsidR="00597563">
        <w:rPr>
          <w:iCs/>
        </w:rPr>
        <w:t>91</w:t>
      </w:r>
      <w:r w:rsidR="00BD5C97" w:rsidRPr="00BD5C97">
        <w:rPr>
          <w:iCs/>
        </w:rPr>
        <w:t>.</w:t>
      </w:r>
      <w:r w:rsidR="00597563">
        <w:rPr>
          <w:iCs/>
        </w:rPr>
        <w:t>004</w:t>
      </w:r>
      <w:r w:rsidR="00BD5C97" w:rsidRPr="00BD5C97">
        <w:rPr>
          <w:iCs/>
        </w:rPr>
        <w:t>.</w:t>
      </w:r>
      <w:r w:rsidR="00597563">
        <w:rPr>
          <w:iCs/>
        </w:rPr>
        <w:t>963</w:t>
      </w:r>
      <w:r w:rsidRPr="00BD5C97">
        <w:rPr>
          <w:iCs/>
        </w:rPr>
        <w:t xml:space="preserve"> kn</w:t>
      </w:r>
      <w:r w:rsidR="00597563">
        <w:rPr>
          <w:iCs/>
        </w:rPr>
        <w:t xml:space="preserve"> ili 3,4 % više u odnosu na 2019.</w:t>
      </w:r>
      <w:r w:rsidR="00CB048D">
        <w:rPr>
          <w:iCs/>
        </w:rPr>
        <w:t xml:space="preserve"> </w:t>
      </w:r>
      <w:r w:rsidRPr="00BD5C97">
        <w:rPr>
          <w:iCs/>
        </w:rPr>
        <w:t>Ostvareni višak prihoda i primitaka nad rashodima i izdacima tekuće godin</w:t>
      </w:r>
      <w:r w:rsidR="00BD5C97" w:rsidRPr="00BD5C97">
        <w:rPr>
          <w:iCs/>
        </w:rPr>
        <w:t xml:space="preserve">e iznosi </w:t>
      </w:r>
      <w:r w:rsidR="003640A9">
        <w:rPr>
          <w:iCs/>
        </w:rPr>
        <w:t>2</w:t>
      </w:r>
      <w:r w:rsidR="00BD5C97" w:rsidRPr="00BD5C97">
        <w:rPr>
          <w:iCs/>
        </w:rPr>
        <w:t>.</w:t>
      </w:r>
      <w:r w:rsidR="003640A9">
        <w:rPr>
          <w:iCs/>
        </w:rPr>
        <w:t>771</w:t>
      </w:r>
      <w:r w:rsidR="00BD5C97" w:rsidRPr="00BD5C97">
        <w:rPr>
          <w:iCs/>
        </w:rPr>
        <w:t>.</w:t>
      </w:r>
      <w:r w:rsidR="003640A9">
        <w:rPr>
          <w:iCs/>
        </w:rPr>
        <w:t>415</w:t>
      </w:r>
      <w:r w:rsidR="00BD5C97" w:rsidRPr="00BD5C97">
        <w:rPr>
          <w:iCs/>
        </w:rPr>
        <w:t xml:space="preserve"> kn. Preneseni višak </w:t>
      </w:r>
      <w:r w:rsidR="003640A9">
        <w:rPr>
          <w:iCs/>
        </w:rPr>
        <w:t>je</w:t>
      </w:r>
      <w:r w:rsidR="00BD5C97" w:rsidRPr="00BD5C97">
        <w:rPr>
          <w:iCs/>
        </w:rPr>
        <w:t xml:space="preserve"> </w:t>
      </w:r>
      <w:r w:rsidR="003640A9">
        <w:rPr>
          <w:iCs/>
        </w:rPr>
        <w:t>28</w:t>
      </w:r>
      <w:r w:rsidR="00BD5C97" w:rsidRPr="00BD5C97">
        <w:rPr>
          <w:iCs/>
        </w:rPr>
        <w:t>.</w:t>
      </w:r>
      <w:r w:rsidR="003640A9">
        <w:rPr>
          <w:iCs/>
        </w:rPr>
        <w:t>420</w:t>
      </w:r>
      <w:r w:rsidR="00BD5C97" w:rsidRPr="00BD5C97">
        <w:rPr>
          <w:iCs/>
        </w:rPr>
        <w:t>.</w:t>
      </w:r>
      <w:r w:rsidR="003640A9">
        <w:rPr>
          <w:iCs/>
        </w:rPr>
        <w:t>364</w:t>
      </w:r>
      <w:r w:rsidRPr="00BD5C97">
        <w:rPr>
          <w:iCs/>
        </w:rPr>
        <w:t xml:space="preserve"> kn. Rezultat ove poslovne godine, odnosno višak prihoda raspoloživ u slje</w:t>
      </w:r>
      <w:r w:rsidR="00BD5C97" w:rsidRPr="00BD5C97">
        <w:rPr>
          <w:iCs/>
        </w:rPr>
        <w:t xml:space="preserve">dećem razdoblju iznosi </w:t>
      </w:r>
      <w:r w:rsidR="003640A9">
        <w:rPr>
          <w:iCs/>
        </w:rPr>
        <w:t>31</w:t>
      </w:r>
      <w:r w:rsidR="00BD5C97" w:rsidRPr="00BD5C97">
        <w:rPr>
          <w:iCs/>
        </w:rPr>
        <w:t>.</w:t>
      </w:r>
      <w:r w:rsidR="003640A9">
        <w:rPr>
          <w:iCs/>
        </w:rPr>
        <w:t>191</w:t>
      </w:r>
      <w:r w:rsidR="00BD5C97" w:rsidRPr="00BD5C97">
        <w:rPr>
          <w:iCs/>
        </w:rPr>
        <w:t>.</w:t>
      </w:r>
      <w:r w:rsidR="003640A9">
        <w:rPr>
          <w:iCs/>
        </w:rPr>
        <w:t>779</w:t>
      </w:r>
      <w:r w:rsidRPr="00BD5C97">
        <w:rPr>
          <w:iCs/>
        </w:rPr>
        <w:t xml:space="preserve"> kn</w:t>
      </w:r>
      <w:r w:rsidR="003640A9">
        <w:rPr>
          <w:iCs/>
        </w:rPr>
        <w:t xml:space="preserve"> što je 3.340.973 k više u odnosu na 2019.</w:t>
      </w:r>
      <w:r w:rsidR="009479A0">
        <w:rPr>
          <w:iCs/>
        </w:rPr>
        <w:t xml:space="preserve"> </w:t>
      </w:r>
      <w:r w:rsidR="009479A0">
        <w:rPr>
          <w:iCs/>
        </w:rPr>
        <w:lastRenderedPageBreak/>
        <w:t>Povećani iznos ostvarenog viška prihoda i primitaka u cijelosti se odnosi na proračunske korisnike.</w:t>
      </w:r>
    </w:p>
    <w:p w14:paraId="1758BA85" w14:textId="77777777" w:rsidR="008758D0" w:rsidRPr="00DF0295" w:rsidRDefault="008758D0" w:rsidP="00D80E9F">
      <w:pPr>
        <w:ind w:firstLine="708"/>
        <w:jc w:val="both"/>
        <w:rPr>
          <w:iCs/>
          <w:highlight w:val="yellow"/>
        </w:rPr>
      </w:pPr>
    </w:p>
    <w:p w14:paraId="41F83EA8" w14:textId="77777777" w:rsidR="00263409" w:rsidRPr="00DF0295" w:rsidRDefault="00263409" w:rsidP="00357DC0">
      <w:pPr>
        <w:ind w:firstLine="708"/>
        <w:jc w:val="both"/>
        <w:rPr>
          <w:iCs/>
          <w:highlight w:val="yellow"/>
        </w:rPr>
      </w:pPr>
    </w:p>
    <w:p w14:paraId="6B8891AA" w14:textId="77777777" w:rsidR="00263409" w:rsidRPr="00DF0295" w:rsidRDefault="00263409" w:rsidP="00357DC0">
      <w:pPr>
        <w:ind w:firstLine="708"/>
        <w:jc w:val="both"/>
        <w:rPr>
          <w:iCs/>
          <w:highlight w:val="yellow"/>
        </w:rPr>
      </w:pPr>
      <w:r w:rsidRPr="00DF0295">
        <w:rPr>
          <w:iCs/>
          <w:highlight w:val="yellow"/>
        </w:rPr>
        <w:br w:type="page"/>
      </w:r>
    </w:p>
    <w:p w14:paraId="71491067" w14:textId="77777777" w:rsidR="00263409" w:rsidRPr="00D72F5A" w:rsidRDefault="00263409" w:rsidP="00357DC0">
      <w:pPr>
        <w:ind w:firstLine="708"/>
        <w:jc w:val="both"/>
        <w:rPr>
          <w:b/>
          <w:iCs/>
        </w:rPr>
      </w:pPr>
      <w:r w:rsidRPr="00D72F5A">
        <w:rPr>
          <w:b/>
          <w:iCs/>
        </w:rPr>
        <w:lastRenderedPageBreak/>
        <w:t>Prihodi poslovanja</w:t>
      </w:r>
    </w:p>
    <w:p w14:paraId="1B07441E" w14:textId="77777777" w:rsidR="00263409" w:rsidRPr="00DF0295" w:rsidRDefault="00263409" w:rsidP="00357DC0">
      <w:pPr>
        <w:ind w:firstLine="708"/>
        <w:jc w:val="both"/>
        <w:rPr>
          <w:iCs/>
          <w:highlight w:val="yellow"/>
        </w:rPr>
      </w:pPr>
    </w:p>
    <w:p w14:paraId="00CD00C1" w14:textId="77777777" w:rsidR="00F328F5" w:rsidRPr="00D72F5A" w:rsidRDefault="00F328F5" w:rsidP="00357DC0">
      <w:pPr>
        <w:ind w:firstLine="708"/>
        <w:jc w:val="both"/>
        <w:rPr>
          <w:iCs/>
        </w:rPr>
      </w:pPr>
      <w:r w:rsidRPr="00D72F5A">
        <w:rPr>
          <w:iCs/>
        </w:rPr>
        <w:t>U odnosu na razinu 22, prihodi i rashodi proračunskih korisnika koji se dodaju u postupku konsolidacije najvećim dijelom su upravo prihodi i rashodi poslovanja.</w:t>
      </w:r>
      <w:r w:rsidR="00357DC0" w:rsidRPr="00D72F5A">
        <w:rPr>
          <w:iCs/>
        </w:rPr>
        <w:t xml:space="preserve"> </w:t>
      </w:r>
      <w:r w:rsidR="00D72F5A" w:rsidRPr="00D72F5A">
        <w:rPr>
          <w:iCs/>
        </w:rPr>
        <w:t>Prihodi poslovanja u 20</w:t>
      </w:r>
      <w:r w:rsidR="009479A0">
        <w:rPr>
          <w:iCs/>
        </w:rPr>
        <w:t>20</w:t>
      </w:r>
      <w:r w:rsidR="00D72F5A" w:rsidRPr="00D72F5A">
        <w:rPr>
          <w:iCs/>
        </w:rPr>
        <w:t>.</w:t>
      </w:r>
      <w:r w:rsidR="009479A0">
        <w:rPr>
          <w:iCs/>
        </w:rPr>
        <w:t>ostvareni su sa 637</w:t>
      </w:r>
      <w:r w:rsidR="00D72F5A" w:rsidRPr="00D72F5A">
        <w:rPr>
          <w:iCs/>
        </w:rPr>
        <w:t>.</w:t>
      </w:r>
      <w:r w:rsidR="009479A0">
        <w:rPr>
          <w:iCs/>
        </w:rPr>
        <w:t>353</w:t>
      </w:r>
      <w:r w:rsidR="00D72F5A" w:rsidRPr="00D72F5A">
        <w:rPr>
          <w:iCs/>
        </w:rPr>
        <w:t>.</w:t>
      </w:r>
      <w:r w:rsidR="009479A0">
        <w:rPr>
          <w:iCs/>
        </w:rPr>
        <w:t>134</w:t>
      </w:r>
      <w:r w:rsidR="00D72F5A" w:rsidRPr="00D72F5A">
        <w:rPr>
          <w:iCs/>
        </w:rPr>
        <w:t xml:space="preserve"> kn što je za </w:t>
      </w:r>
      <w:r w:rsidR="009479A0">
        <w:rPr>
          <w:iCs/>
        </w:rPr>
        <w:t>14</w:t>
      </w:r>
      <w:r w:rsidR="00D72F5A" w:rsidRPr="00D72F5A">
        <w:rPr>
          <w:iCs/>
        </w:rPr>
        <w:t>.</w:t>
      </w:r>
      <w:r w:rsidR="009479A0">
        <w:rPr>
          <w:iCs/>
        </w:rPr>
        <w:t>404</w:t>
      </w:r>
      <w:r w:rsidR="00D72F5A" w:rsidRPr="00D72F5A">
        <w:rPr>
          <w:iCs/>
        </w:rPr>
        <w:t>.</w:t>
      </w:r>
      <w:r w:rsidR="009479A0">
        <w:rPr>
          <w:iCs/>
        </w:rPr>
        <w:t>892</w:t>
      </w:r>
      <w:r w:rsidR="00D72F5A" w:rsidRPr="00D72F5A">
        <w:rPr>
          <w:iCs/>
        </w:rPr>
        <w:t xml:space="preserve"> kn više u odnosu na 201</w:t>
      </w:r>
      <w:r w:rsidR="009479A0">
        <w:rPr>
          <w:iCs/>
        </w:rPr>
        <w:t>9</w:t>
      </w:r>
      <w:r w:rsidRPr="00D72F5A">
        <w:rPr>
          <w:iCs/>
        </w:rPr>
        <w:t>.</w:t>
      </w:r>
    </w:p>
    <w:p w14:paraId="53A29506" w14:textId="77777777" w:rsidR="00F328F5" w:rsidRPr="00DF0295" w:rsidRDefault="00F328F5" w:rsidP="00F328F5">
      <w:pPr>
        <w:ind w:firstLine="708"/>
        <w:jc w:val="both"/>
        <w:rPr>
          <w:iCs/>
          <w:highlight w:val="yellow"/>
        </w:rPr>
      </w:pPr>
    </w:p>
    <w:p w14:paraId="1F3BE7C4" w14:textId="77777777" w:rsidR="00F328F5" w:rsidRPr="0054060F" w:rsidRDefault="00F328F5" w:rsidP="00F328F5">
      <w:pPr>
        <w:ind w:firstLine="708"/>
        <w:jc w:val="both"/>
        <w:rPr>
          <w:iCs/>
        </w:rPr>
      </w:pPr>
      <w:r w:rsidRPr="0054060F">
        <w:rPr>
          <w:iCs/>
        </w:rPr>
        <w:t>Pregled prihoda poslovanja Gr</w:t>
      </w:r>
      <w:r w:rsidR="00560DA1" w:rsidRPr="0054060F">
        <w:rPr>
          <w:iCs/>
        </w:rPr>
        <w:t>ada i proračunskih korisnika</w:t>
      </w:r>
      <w:r w:rsidR="000D72D1">
        <w:rPr>
          <w:iCs/>
        </w:rPr>
        <w:t xml:space="preserve"> u 2020.</w:t>
      </w:r>
      <w:r w:rsidR="00560DA1" w:rsidRPr="0054060F">
        <w:rPr>
          <w:iCs/>
        </w:rPr>
        <w:t xml:space="preserve"> dan je u nastavku:</w:t>
      </w:r>
    </w:p>
    <w:tbl>
      <w:tblPr>
        <w:tblW w:w="4919" w:type="pct"/>
        <w:tblLayout w:type="fixed"/>
        <w:tblLook w:val="04A0" w:firstRow="1" w:lastRow="0" w:firstColumn="1" w:lastColumn="0" w:noHBand="0" w:noVBand="1"/>
      </w:tblPr>
      <w:tblGrid>
        <w:gridCol w:w="5071"/>
        <w:gridCol w:w="4393"/>
      </w:tblGrid>
      <w:tr w:rsidR="005643B4" w:rsidRPr="00DF0295" w14:paraId="7E2D0437" w14:textId="77777777" w:rsidTr="005643B4">
        <w:trPr>
          <w:trHeight w:val="479"/>
        </w:trPr>
        <w:tc>
          <w:tcPr>
            <w:tcW w:w="2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70E50" w14:textId="77777777" w:rsidR="005643B4" w:rsidRPr="003E373E" w:rsidRDefault="005643B4" w:rsidP="00F328F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E373E">
              <w:rPr>
                <w:rFonts w:ascii="Calibri" w:hAnsi="Calibri"/>
                <w:b/>
                <w:color w:val="000000"/>
                <w:sz w:val="22"/>
                <w:szCs w:val="22"/>
              </w:rPr>
              <w:t> Razred 6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2CF12C" w14:textId="77777777" w:rsidR="005643B4" w:rsidRPr="00D043C1" w:rsidRDefault="005643B4" w:rsidP="003E373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643B4" w:rsidRPr="00DF0295" w14:paraId="4D885C10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D04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Grad Osijek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(uključujući vijeća nacionalnih manjina)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52FD1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479</w:t>
            </w: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863</w:t>
            </w:r>
          </w:p>
        </w:tc>
      </w:tr>
      <w:tr w:rsidR="005643B4" w:rsidRPr="00DF0295" w14:paraId="3FFA14B6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450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C4403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938</w:t>
            </w:r>
          </w:p>
        </w:tc>
      </w:tr>
      <w:tr w:rsidR="005643B4" w:rsidRPr="00DF0295" w14:paraId="7816E236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70FE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A92D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5.297.523</w:t>
            </w:r>
          </w:p>
        </w:tc>
      </w:tr>
      <w:tr w:rsidR="005643B4" w:rsidRPr="00DF0295" w14:paraId="6FB2A448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1AAB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8DF12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1.002.434</w:t>
            </w:r>
          </w:p>
        </w:tc>
      </w:tr>
      <w:tr w:rsidR="005643B4" w:rsidRPr="00DF0295" w14:paraId="55CF18F0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49D4" w14:textId="77777777" w:rsidR="005643B4" w:rsidRPr="008C53B2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53B2">
              <w:rPr>
                <w:rFonts w:ascii="Calibri" w:hAnsi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E249A" w14:textId="77777777" w:rsidR="005643B4" w:rsidRPr="008C53B2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60.777.236</w:t>
            </w:r>
          </w:p>
        </w:tc>
      </w:tr>
      <w:tr w:rsidR="005643B4" w:rsidRPr="00DF0295" w14:paraId="1C651B2F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85BC" w14:textId="77777777" w:rsidR="005643B4" w:rsidRPr="008C53B2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53B2">
              <w:rPr>
                <w:rFonts w:ascii="Calibri" w:hAnsi="Calibri"/>
                <w:color w:val="000000"/>
                <w:sz w:val="22"/>
                <w:szCs w:val="22"/>
              </w:rPr>
              <w:t>Javna profesionalna vatrogasna postrojba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328E7" w14:textId="77777777" w:rsidR="005643B4" w:rsidRPr="008C53B2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16.602.221</w:t>
            </w:r>
          </w:p>
        </w:tc>
      </w:tr>
      <w:tr w:rsidR="005643B4" w:rsidRPr="00DF0295" w14:paraId="67F674AD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97D0" w14:textId="77777777" w:rsidR="005643B4" w:rsidRPr="008C53B2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53B2">
              <w:rPr>
                <w:rFonts w:ascii="Calibri" w:hAnsi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CFA2D" w14:textId="77777777" w:rsidR="005643B4" w:rsidRPr="008C53B2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1.854.199</w:t>
            </w:r>
          </w:p>
        </w:tc>
      </w:tr>
      <w:tr w:rsidR="005643B4" w:rsidRPr="00DF0295" w14:paraId="628514F7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6F313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82520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1.119.965</w:t>
            </w:r>
          </w:p>
        </w:tc>
      </w:tr>
      <w:tr w:rsidR="005643B4" w:rsidRPr="00DF0295" w14:paraId="12725FDF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77E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C57E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6.946.186</w:t>
            </w:r>
          </w:p>
        </w:tc>
      </w:tr>
      <w:tr w:rsidR="005643B4" w:rsidRPr="00DF0295" w14:paraId="4F46E6C7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378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5EB0C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8.682.706</w:t>
            </w:r>
          </w:p>
        </w:tc>
      </w:tr>
      <w:tr w:rsidR="005643B4" w:rsidRPr="00DF0295" w14:paraId="50A1FB59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3BB4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594E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6.347.021</w:t>
            </w:r>
          </w:p>
        </w:tc>
      </w:tr>
      <w:tr w:rsidR="005643B4" w:rsidRPr="00DF0295" w14:paraId="3424F5C3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277" w14:textId="77777777" w:rsidR="005643B4" w:rsidRPr="00760C0C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0C0C">
              <w:rPr>
                <w:rFonts w:ascii="Calibri" w:hAnsi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266F8" w14:textId="77777777" w:rsidR="005643B4" w:rsidRPr="00760C0C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6.401.325</w:t>
            </w:r>
          </w:p>
        </w:tc>
      </w:tr>
      <w:tr w:rsidR="005643B4" w:rsidRPr="00DF0295" w14:paraId="7842F952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021" w14:textId="77777777" w:rsidR="005643B4" w:rsidRPr="008C53B2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C53B2">
              <w:rPr>
                <w:rFonts w:ascii="Calibri" w:hAnsi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2A4A4" w14:textId="77777777" w:rsidR="005643B4" w:rsidRPr="008C53B2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9.396.865</w:t>
            </w:r>
          </w:p>
        </w:tc>
      </w:tr>
      <w:tr w:rsidR="005643B4" w:rsidRPr="00DF0295" w14:paraId="539CC488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C583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CFCD8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6.475.168</w:t>
            </w:r>
          </w:p>
        </w:tc>
      </w:tr>
      <w:tr w:rsidR="005643B4" w:rsidRPr="00DF0295" w14:paraId="7C9CB9BF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7BFC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3F94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8.199.609</w:t>
            </w:r>
          </w:p>
        </w:tc>
      </w:tr>
      <w:tr w:rsidR="005643B4" w:rsidRPr="00DF0295" w14:paraId="17F1642B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24E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OŠ Jagoda Truhelka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C7F03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8.746.349</w:t>
            </w:r>
          </w:p>
        </w:tc>
      </w:tr>
      <w:tr w:rsidR="005643B4" w:rsidRPr="00171FCF" w14:paraId="50B32B6A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8370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33E8" w14:textId="77777777" w:rsidR="005643B4" w:rsidRPr="00171FCF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10.033.127</w:t>
            </w:r>
          </w:p>
        </w:tc>
      </w:tr>
      <w:tr w:rsidR="005643B4" w:rsidRPr="00DF0295" w14:paraId="00447E3E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5D13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05407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12.959.737</w:t>
            </w:r>
          </w:p>
        </w:tc>
      </w:tr>
      <w:tr w:rsidR="005643B4" w:rsidRPr="00DF0295" w14:paraId="7B64F3A1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C100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0AD8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6.253.620</w:t>
            </w:r>
          </w:p>
        </w:tc>
      </w:tr>
      <w:tr w:rsidR="005643B4" w:rsidRPr="00DF0295" w14:paraId="75DB6583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6EBB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BF6E4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6.971.985</w:t>
            </w:r>
          </w:p>
        </w:tc>
      </w:tr>
      <w:tr w:rsidR="005643B4" w:rsidRPr="00DF0295" w14:paraId="5CD0A8B8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6E0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5FBFC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8.789.885</w:t>
            </w:r>
          </w:p>
        </w:tc>
      </w:tr>
      <w:tr w:rsidR="005643B4" w:rsidRPr="00DF0295" w14:paraId="3DA27104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8132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A39A6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9.370.953</w:t>
            </w:r>
          </w:p>
        </w:tc>
      </w:tr>
      <w:tr w:rsidR="005643B4" w:rsidRPr="00DF0295" w14:paraId="1B212465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CE2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77932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5.504.976</w:t>
            </w:r>
          </w:p>
        </w:tc>
      </w:tr>
      <w:tr w:rsidR="005643B4" w:rsidRPr="00DF0295" w14:paraId="6A3DB6B8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721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E8EEC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10.606.344</w:t>
            </w:r>
          </w:p>
        </w:tc>
      </w:tr>
      <w:tr w:rsidR="005643B4" w:rsidRPr="00DF0295" w14:paraId="183A89A1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984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953A4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7.978.654</w:t>
            </w:r>
          </w:p>
        </w:tc>
      </w:tr>
      <w:tr w:rsidR="005643B4" w:rsidRPr="00DF0295" w14:paraId="10899C7F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B12B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83A1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6.936.273</w:t>
            </w:r>
          </w:p>
        </w:tc>
      </w:tr>
      <w:tr w:rsidR="005643B4" w:rsidRPr="00DF0295" w14:paraId="460D6074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61EC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A4D8A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9.553.924</w:t>
            </w:r>
          </w:p>
        </w:tc>
      </w:tr>
      <w:tr w:rsidR="005643B4" w:rsidRPr="00DF0295" w14:paraId="230E5077" w14:textId="77777777" w:rsidTr="005643B4">
        <w:trPr>
          <w:trHeight w:val="30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A43" w14:textId="77777777" w:rsidR="005643B4" w:rsidRPr="00D043C1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3C1">
              <w:rPr>
                <w:rFonts w:ascii="Calibri" w:hAnsi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E20D4" w14:textId="77777777" w:rsidR="005643B4" w:rsidRPr="00D043C1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9.488.104</w:t>
            </w:r>
          </w:p>
        </w:tc>
      </w:tr>
      <w:tr w:rsidR="005643B4" w:rsidRPr="00DF0295" w14:paraId="1CAB0176" w14:textId="77777777" w:rsidTr="005643B4">
        <w:trPr>
          <w:trHeight w:val="315"/>
        </w:trPr>
        <w:tc>
          <w:tcPr>
            <w:tcW w:w="267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AAFC" w14:textId="77777777" w:rsidR="005643B4" w:rsidRPr="00D72F5A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2F5A">
              <w:rPr>
                <w:rFonts w:ascii="Calibri" w:hAnsi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477989DF" w14:textId="77777777" w:rsidR="005643B4" w:rsidRPr="00D72F5A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741.441.190</w:t>
            </w:r>
          </w:p>
        </w:tc>
      </w:tr>
      <w:tr w:rsidR="005643B4" w:rsidRPr="00DF0295" w14:paraId="6A81A625" w14:textId="77777777" w:rsidTr="005643B4">
        <w:trPr>
          <w:trHeight w:val="315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D059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Prijenos korisnicima (konto 671)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CE748" w14:textId="77777777" w:rsidR="005643B4" w:rsidRPr="00DF0295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062</w:t>
            </w: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982</w:t>
            </w:r>
          </w:p>
        </w:tc>
      </w:tr>
      <w:tr w:rsidR="005643B4" w:rsidRPr="00DF0295" w14:paraId="6DB60D3C" w14:textId="77777777" w:rsidTr="005643B4">
        <w:trPr>
          <w:trHeight w:val="315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FD65A" w14:textId="77777777" w:rsidR="005643B4" w:rsidRPr="00171FCF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Tekući prijenosi između proračunskih korisnika istog proračuna</w:t>
            </w:r>
            <w:r w:rsidR="00CB048D">
              <w:rPr>
                <w:rFonts w:ascii="Calibri" w:hAnsi="Calibri"/>
                <w:color w:val="000000"/>
                <w:sz w:val="22"/>
                <w:szCs w:val="22"/>
              </w:rPr>
              <w:t xml:space="preserve"> (639)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EE64D" w14:textId="77777777" w:rsidR="005643B4" w:rsidRPr="00171FCF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25.074</w:t>
            </w:r>
          </w:p>
        </w:tc>
      </w:tr>
      <w:tr w:rsidR="005643B4" w:rsidRPr="00DF0295" w14:paraId="65301EF3" w14:textId="77777777" w:rsidTr="005643B4">
        <w:trPr>
          <w:trHeight w:val="315"/>
        </w:trPr>
        <w:tc>
          <w:tcPr>
            <w:tcW w:w="267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69AE6" w14:textId="77777777" w:rsidR="005643B4" w:rsidRPr="00DF0295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171FC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0115D2B" w14:textId="77777777" w:rsidR="005643B4" w:rsidRPr="00411A77" w:rsidRDefault="005643B4" w:rsidP="000D72D1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</w:rPr>
            </w:pPr>
            <w:r w:rsidRPr="00411A77">
              <w:rPr>
                <w:rFonts w:ascii="Calibri" w:hAnsi="Calibri"/>
                <w:b/>
                <w:color w:val="000000"/>
                <w:sz w:val="22"/>
                <w:szCs w:val="22"/>
              </w:rPr>
              <w:t>637.353.134</w:t>
            </w:r>
          </w:p>
        </w:tc>
      </w:tr>
      <w:tr w:rsidR="005643B4" w:rsidRPr="00DF0295" w14:paraId="015E1830" w14:textId="77777777" w:rsidTr="005643B4">
        <w:trPr>
          <w:trHeight w:val="315"/>
        </w:trPr>
        <w:tc>
          <w:tcPr>
            <w:tcW w:w="267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2203283" w14:textId="77777777" w:rsidR="005643B4" w:rsidRPr="00171FCF" w:rsidRDefault="005643B4" w:rsidP="00F3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283E8416" w14:textId="77777777" w:rsidR="005643B4" w:rsidRPr="00E44096" w:rsidRDefault="005643B4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1D2ABE7" w14:textId="77777777" w:rsidR="00B41640" w:rsidRPr="00207BF0" w:rsidRDefault="00B41640" w:rsidP="00B41640">
      <w:pPr>
        <w:ind w:firstLine="708"/>
        <w:jc w:val="both"/>
        <w:rPr>
          <w:iCs/>
        </w:rPr>
      </w:pPr>
      <w:r w:rsidRPr="00207BF0">
        <w:rPr>
          <w:iCs/>
        </w:rPr>
        <w:lastRenderedPageBreak/>
        <w:t>Povećanje ostvarenih prihoda poslovanja najvećim se dijelom odnosi na Grad Os</w:t>
      </w:r>
      <w:r w:rsidR="00207BF0" w:rsidRPr="00207BF0">
        <w:rPr>
          <w:iCs/>
        </w:rPr>
        <w:t>ijek i to u iznosu od 50.905.961</w:t>
      </w:r>
      <w:r w:rsidRPr="00207BF0">
        <w:rPr>
          <w:iCs/>
        </w:rPr>
        <w:t xml:space="preserve"> kn. </w:t>
      </w:r>
    </w:p>
    <w:p w14:paraId="5A1974D0" w14:textId="77777777" w:rsidR="00B41640" w:rsidRPr="00DF0295" w:rsidRDefault="00B41640" w:rsidP="00B41640">
      <w:pPr>
        <w:ind w:firstLine="708"/>
        <w:jc w:val="both"/>
        <w:rPr>
          <w:iCs/>
          <w:highlight w:val="yellow"/>
        </w:rPr>
      </w:pPr>
    </w:p>
    <w:p w14:paraId="1DA3483D" w14:textId="77777777" w:rsidR="009479A0" w:rsidRDefault="009479A0" w:rsidP="003E373E">
      <w:pPr>
        <w:jc w:val="both"/>
      </w:pPr>
      <w:r w:rsidRPr="00D65FFA">
        <w:rPr>
          <w:b/>
        </w:rPr>
        <w:t>AOP 003</w:t>
      </w:r>
      <w:r w:rsidR="003E373E">
        <w:rPr>
          <w:b/>
          <w:sz w:val="28"/>
          <w:szCs w:val="28"/>
        </w:rPr>
        <w:t xml:space="preserve"> </w:t>
      </w:r>
      <w:r w:rsidR="003E373E">
        <w:rPr>
          <w:b/>
          <w:sz w:val="28"/>
          <w:szCs w:val="28"/>
        </w:rPr>
        <w:tab/>
      </w:r>
      <w:r w:rsidRPr="00D65FFA">
        <w:rPr>
          <w:b/>
          <w:sz w:val="28"/>
          <w:szCs w:val="28"/>
        </w:rPr>
        <w:t xml:space="preserve"> </w:t>
      </w:r>
      <w:r w:rsidRPr="00D65FFA">
        <w:t>Prihodi od poreza i prireza na dohodak up</w:t>
      </w:r>
      <w:r>
        <w:t xml:space="preserve">laćeni su u svoti </w:t>
      </w:r>
      <w:r w:rsidRPr="00D24D9B">
        <w:t>od 246.338</w:t>
      </w:r>
      <w:r>
        <w:t xml:space="preserve">.562 kn što je </w:t>
      </w:r>
      <w:r w:rsidRPr="00D24D9B">
        <w:t>za 362.702</w:t>
      </w:r>
      <w:r w:rsidRPr="00D65FFA">
        <w:t xml:space="preserve"> kn više nego prethodne godine. </w:t>
      </w:r>
      <w:r>
        <w:t>Vlada RH je zbog negativnog utjecaja pandemije korona</w:t>
      </w:r>
      <w:r w:rsidR="00B75029">
        <w:t xml:space="preserve"> </w:t>
      </w:r>
      <w:r>
        <w:t>virusa na cjelokupno gospodarstvo donijela mjere za očuvanje radnih mjesta u vidu odgode plaćanja, obročne otplate odnosno oslobađanja od plaćanja poreza i prireza na dohodak.</w:t>
      </w:r>
    </w:p>
    <w:p w14:paraId="1C1700EA" w14:textId="77777777" w:rsidR="009479A0" w:rsidRPr="00A2429E" w:rsidRDefault="009479A0" w:rsidP="009479A0">
      <w:pPr>
        <w:jc w:val="both"/>
        <w:rPr>
          <w:highlight w:val="yellow"/>
        </w:rPr>
      </w:pPr>
    </w:p>
    <w:p w14:paraId="398ABFB0" w14:textId="77777777" w:rsidR="009479A0" w:rsidRDefault="009479A0" w:rsidP="003E373E">
      <w:pPr>
        <w:jc w:val="both"/>
      </w:pPr>
      <w:r w:rsidRPr="00757E4A">
        <w:rPr>
          <w:b/>
        </w:rPr>
        <w:t>AOP 018</w:t>
      </w:r>
      <w:r w:rsidR="003E373E">
        <w:t xml:space="preserve"> </w:t>
      </w:r>
      <w:r w:rsidR="003E373E">
        <w:tab/>
      </w:r>
      <w:r>
        <w:t xml:space="preserve">Prihod od poreza na imovinu </w:t>
      </w:r>
      <w:r w:rsidRPr="00D24D9B">
        <w:t>iznosi 28.213.171</w:t>
      </w:r>
      <w:r>
        <w:t xml:space="preserve"> kn što je </w:t>
      </w:r>
      <w:r w:rsidRPr="00D24D9B">
        <w:t>za 6.169.193 kn</w:t>
      </w:r>
      <w:r>
        <w:t xml:space="preserve"> ili 28% više u odnosu na 2019. godinu. Ovakvo ostvarenje poreza na promet nekretnina odraz je aktualnog stanja na tržištu nekretnina kao i kontinuirane provedbe aktivnih mjera naplate od strane Ministarstva financija, Porezne uprave. Od većih uplata izdvajaju se ADDIKO BANK DD iz svibnja 2020. u iznosu od 3.532.075 kn i Mercator-H d.o.o. za trgovinu i proizvodnju iz rujna 2020. u iznosu od 1.049.462 kn.</w:t>
      </w:r>
    </w:p>
    <w:p w14:paraId="1AE8A300" w14:textId="77777777" w:rsidR="009479A0" w:rsidRDefault="009479A0" w:rsidP="009479A0">
      <w:pPr>
        <w:jc w:val="both"/>
      </w:pPr>
    </w:p>
    <w:p w14:paraId="69C1E53B" w14:textId="77777777" w:rsidR="009479A0" w:rsidRPr="00757E4A" w:rsidRDefault="009479A0" w:rsidP="003E373E">
      <w:pPr>
        <w:jc w:val="both"/>
      </w:pPr>
      <w:r w:rsidRPr="001D062D">
        <w:rPr>
          <w:b/>
        </w:rPr>
        <w:t>AOP 024</w:t>
      </w:r>
      <w:r w:rsidR="003E373E">
        <w:tab/>
      </w:r>
      <w:r>
        <w:t xml:space="preserve"> Porezi na robu i usluge (porez na potrošnju i obveze iz prethodnih godina za porez na tvrtku) iznose 2.427.911 kn i smanjeni su za 893.864 kn u odnosu na 2019. godinu najvećim dijelom </w:t>
      </w:r>
      <w:r w:rsidR="006568BD">
        <w:t>uslijed utjecaja</w:t>
      </w:r>
      <w:r>
        <w:t xml:space="preserve"> </w:t>
      </w:r>
      <w:proofErr w:type="spellStart"/>
      <w:r>
        <w:t>pandemije</w:t>
      </w:r>
      <w:proofErr w:type="spellEnd"/>
      <w:r>
        <w:t xml:space="preserve"> </w:t>
      </w:r>
      <w:r w:rsidR="00B75029">
        <w:t>korona virusa</w:t>
      </w:r>
      <w:r>
        <w:t xml:space="preserve"> i epidemioloških mjera</w:t>
      </w:r>
      <w:r w:rsidR="006568BD">
        <w:t xml:space="preserve"> na ostvarivanje poreza na potrošnju</w:t>
      </w:r>
      <w:r>
        <w:t>.</w:t>
      </w:r>
    </w:p>
    <w:p w14:paraId="4E83E50B" w14:textId="77777777" w:rsidR="009479A0" w:rsidRPr="00A2429E" w:rsidRDefault="009479A0" w:rsidP="009479A0">
      <w:pPr>
        <w:jc w:val="both"/>
        <w:rPr>
          <w:highlight w:val="yellow"/>
        </w:rPr>
      </w:pPr>
    </w:p>
    <w:p w14:paraId="34F6C451" w14:textId="77777777" w:rsidR="00D37B4A" w:rsidRPr="00DF0295" w:rsidRDefault="00D37B4A" w:rsidP="00B41640">
      <w:pPr>
        <w:jc w:val="both"/>
        <w:rPr>
          <w:highlight w:val="yellow"/>
        </w:rPr>
      </w:pPr>
    </w:p>
    <w:p w14:paraId="79D631C9" w14:textId="77777777" w:rsidR="001531DD" w:rsidRDefault="00D37B4A" w:rsidP="003E373E">
      <w:pPr>
        <w:jc w:val="both"/>
      </w:pPr>
      <w:r w:rsidRPr="00207BF0">
        <w:rPr>
          <w:b/>
        </w:rPr>
        <w:t>AOP 045</w:t>
      </w:r>
      <w:r w:rsidR="003E373E">
        <w:t xml:space="preserve"> </w:t>
      </w:r>
      <w:r w:rsidR="003E373E">
        <w:tab/>
      </w:r>
      <w:r w:rsidR="00207BF0">
        <w:t xml:space="preserve">Pomoći iskazane u okviru ovoga AOP-a veće su za </w:t>
      </w:r>
      <w:r w:rsidR="009479A0">
        <w:t>42.164</w:t>
      </w:r>
      <w:r w:rsidR="00207BF0">
        <w:t>.</w:t>
      </w:r>
      <w:r w:rsidR="009479A0">
        <w:t>701</w:t>
      </w:r>
      <w:r w:rsidR="00207BF0">
        <w:t xml:space="preserve"> kn</w:t>
      </w:r>
      <w:r w:rsidR="009479A0">
        <w:t xml:space="preserve"> ili 19,8%</w:t>
      </w:r>
      <w:r w:rsidR="00207BF0">
        <w:t xml:space="preserve"> od čega se </w:t>
      </w:r>
      <w:r w:rsidR="001531DD">
        <w:t>35</w:t>
      </w:r>
      <w:r w:rsidR="00207BF0">
        <w:t>.</w:t>
      </w:r>
      <w:r w:rsidR="001531DD">
        <w:t>247</w:t>
      </w:r>
      <w:r w:rsidR="00004AF9">
        <w:t>.</w:t>
      </w:r>
      <w:r w:rsidR="001531DD">
        <w:t>073</w:t>
      </w:r>
      <w:r w:rsidR="00004AF9">
        <w:t xml:space="preserve"> kn odnosi na Grad Osijek, a vezano za tekuće i kapitalne pomoći iz županijskog i državnog proračuna, fondova za sufinanciranje EU projekata te pomoći ostvarene temeljem prijenosa EU sredstava</w:t>
      </w:r>
      <w:r w:rsidR="00207BF0">
        <w:t xml:space="preserve">. </w:t>
      </w:r>
    </w:p>
    <w:p w14:paraId="2940EE79" w14:textId="77777777" w:rsidR="001531DD" w:rsidRPr="00A40EB2" w:rsidRDefault="001531DD" w:rsidP="001531DD">
      <w:pPr>
        <w:ind w:firstLine="708"/>
        <w:jc w:val="both"/>
      </w:pPr>
      <w:r>
        <w:t>Najveći rast je u okviru AOP-a 054 Pomoći proračunu iz drugih proračuna i iznosi 25.652.858 kn. D</w:t>
      </w:r>
      <w:r w:rsidRPr="00A40EB2">
        <w:t>označene su za sljedeće namjene:</w:t>
      </w:r>
    </w:p>
    <w:p w14:paraId="3B095493" w14:textId="77777777" w:rsidR="001531DD" w:rsidRPr="00A2429E" w:rsidRDefault="001531DD" w:rsidP="001531DD">
      <w:pPr>
        <w:jc w:val="both"/>
        <w:rPr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57"/>
        <w:gridCol w:w="1563"/>
      </w:tblGrid>
      <w:tr w:rsidR="001531DD" w:rsidRPr="0006395C" w14:paraId="3325A595" w14:textId="77777777" w:rsidTr="006568BD">
        <w:trPr>
          <w:trHeight w:val="315"/>
        </w:trPr>
        <w:tc>
          <w:tcPr>
            <w:tcW w:w="4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337" w14:textId="77777777" w:rsidR="001531DD" w:rsidRPr="0006395C" w:rsidRDefault="001531DD" w:rsidP="006568BD">
            <w:pPr>
              <w:jc w:val="center"/>
              <w:rPr>
                <w:b/>
                <w:bCs/>
                <w:color w:val="000000"/>
              </w:rPr>
            </w:pPr>
            <w:r w:rsidRPr="0006395C">
              <w:rPr>
                <w:b/>
                <w:bCs/>
                <w:color w:val="000000"/>
              </w:rPr>
              <w:t>OPIS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30B1" w14:textId="77777777" w:rsidR="001531DD" w:rsidRPr="0006395C" w:rsidRDefault="001531DD" w:rsidP="006568BD">
            <w:pPr>
              <w:jc w:val="center"/>
              <w:rPr>
                <w:b/>
                <w:bCs/>
                <w:color w:val="000000"/>
              </w:rPr>
            </w:pPr>
            <w:r w:rsidRPr="0006395C">
              <w:rPr>
                <w:b/>
                <w:bCs/>
                <w:color w:val="000000"/>
              </w:rPr>
              <w:t>IZNOS 2020</w:t>
            </w:r>
            <w:r w:rsidR="009D293A">
              <w:rPr>
                <w:b/>
                <w:bCs/>
                <w:color w:val="000000"/>
              </w:rPr>
              <w:t>.</w:t>
            </w:r>
          </w:p>
        </w:tc>
      </w:tr>
      <w:tr w:rsidR="001531DD" w:rsidRPr="0006395C" w14:paraId="4CE07922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035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Sanacija deponija Nemetin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B3E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23.121.194</w:t>
            </w:r>
          </w:p>
        </w:tc>
      </w:tr>
      <w:tr w:rsidR="001531DD" w:rsidRPr="0006395C" w14:paraId="204B4408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E7F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državnog proračuna - kompenzacijske mjere JLP(R)S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379" w14:textId="77777777" w:rsidR="001531DD" w:rsidRPr="0006395C" w:rsidRDefault="001531DD" w:rsidP="00792F2E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9.281.</w:t>
            </w:r>
            <w:r w:rsidR="00792F2E">
              <w:rPr>
                <w:color w:val="000000"/>
              </w:rPr>
              <w:t>863</w:t>
            </w:r>
          </w:p>
        </w:tc>
      </w:tr>
      <w:tr w:rsidR="001531DD" w:rsidRPr="0006395C" w14:paraId="0A4F121E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01E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županijskog proračuna za ogrjev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DC5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395.850</w:t>
            </w:r>
          </w:p>
        </w:tc>
      </w:tr>
      <w:tr w:rsidR="001531DD" w:rsidRPr="0006395C" w14:paraId="7BE8A107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C153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Projekt Čist grad - naš ponOS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802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386.028</w:t>
            </w:r>
          </w:p>
        </w:tc>
      </w:tr>
      <w:tr w:rsidR="001531DD" w:rsidRPr="0006395C" w14:paraId="6F41D972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96DC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državnog proračuna - Osječko ljeto kulture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F94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300.000</w:t>
            </w:r>
          </w:p>
        </w:tc>
      </w:tr>
      <w:tr w:rsidR="001531DD" w:rsidRPr="0006395C" w14:paraId="30400A11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B98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Kapitalne pomoći iz državnog proračuna - Campus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6B0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299.693</w:t>
            </w:r>
          </w:p>
        </w:tc>
      </w:tr>
      <w:tr w:rsidR="001531DD" w:rsidRPr="0006395C" w14:paraId="6B78D561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6A2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ITU tehnička pomoć, refundacija Fond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121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127.221</w:t>
            </w:r>
          </w:p>
        </w:tc>
      </w:tr>
      <w:tr w:rsidR="001531DD" w:rsidRPr="0006395C" w14:paraId="67F4AE69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4A4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 xml:space="preserve">ITU tehnička pomoć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85C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86.155</w:t>
            </w:r>
          </w:p>
        </w:tc>
      </w:tr>
      <w:tr w:rsidR="001531DD" w:rsidRPr="0006395C" w14:paraId="5335EDD8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CCE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Kapitalne pomoći iz državnog proračuna - projekt S.O.S., refundacija 2019.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B93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85.277</w:t>
            </w:r>
          </w:p>
        </w:tc>
      </w:tr>
      <w:tr w:rsidR="001531DD" w:rsidRPr="0006395C" w14:paraId="1B7B5653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5055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državnog proračuna - Koncertni ciklus Grada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70E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35.000</w:t>
            </w:r>
          </w:p>
        </w:tc>
      </w:tr>
      <w:tr w:rsidR="001531DD" w:rsidRPr="0006395C" w14:paraId="74E7D95B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781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državnog proračuna - ublažavanje prirodnih nepogoda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965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31.521</w:t>
            </w:r>
          </w:p>
        </w:tc>
      </w:tr>
      <w:tr w:rsidR="001531DD" w:rsidRPr="0006395C" w14:paraId="18132D93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6706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županijskih proračuna - OBŽ za Koncertni ciklus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51D5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30.000</w:t>
            </w:r>
          </w:p>
        </w:tc>
      </w:tr>
      <w:tr w:rsidR="001531DD" w:rsidRPr="0006395C" w14:paraId="05758A20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809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Projekt Rediscover - Fond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AD9F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27.986</w:t>
            </w:r>
          </w:p>
        </w:tc>
      </w:tr>
      <w:tr w:rsidR="001531DD" w:rsidRPr="0006395C" w14:paraId="0691E624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D8B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Tekuće pomoći iz državnog proračuna za Medni dan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5EA7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21.897</w:t>
            </w:r>
          </w:p>
        </w:tc>
      </w:tr>
      <w:tr w:rsidR="001531DD" w:rsidRPr="0006395C" w14:paraId="707B948B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2C5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Projekt SHAREPLACE - Fond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F22E" w14:textId="77777777" w:rsidR="001531DD" w:rsidRPr="0006395C" w:rsidRDefault="001531DD" w:rsidP="006568BD">
            <w:pPr>
              <w:jc w:val="right"/>
              <w:rPr>
                <w:color w:val="000000"/>
              </w:rPr>
            </w:pPr>
            <w:r w:rsidRPr="0006395C">
              <w:rPr>
                <w:color w:val="000000"/>
              </w:rPr>
              <w:t>13.014</w:t>
            </w:r>
          </w:p>
        </w:tc>
      </w:tr>
      <w:tr w:rsidR="001531DD" w:rsidRPr="0006395C" w14:paraId="3BE7E816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7D6D" w14:textId="77777777" w:rsidR="001531DD" w:rsidRPr="0006395C" w:rsidRDefault="00792F2E" w:rsidP="006568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Državni proračun-Agencija za obnovu osječke Tvrđe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8BD9" w14:textId="77777777" w:rsidR="001531DD" w:rsidRPr="0006395C" w:rsidRDefault="00792F2E" w:rsidP="006568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1.000.000</w:t>
            </w:r>
          </w:p>
        </w:tc>
      </w:tr>
      <w:tr w:rsidR="00792F2E" w:rsidRPr="0006395C" w14:paraId="12A34FEE" w14:textId="77777777" w:rsidTr="006568BD">
        <w:trPr>
          <w:trHeight w:val="315"/>
        </w:trPr>
        <w:tc>
          <w:tcPr>
            <w:tcW w:w="4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6F54" w14:textId="77777777" w:rsidR="00792F2E" w:rsidRDefault="00792F2E" w:rsidP="006568BD">
            <w:pPr>
              <w:rPr>
                <w:color w:val="000000"/>
              </w:rPr>
            </w:pPr>
            <w:r>
              <w:rPr>
                <w:color w:val="000000"/>
              </w:rPr>
              <w:t>Državni proračun-OŠ Tin Ujević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D377" w14:textId="77777777" w:rsidR="00792F2E" w:rsidRDefault="00792F2E" w:rsidP="006568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232.308</w:t>
            </w:r>
          </w:p>
        </w:tc>
      </w:tr>
      <w:tr w:rsidR="001531DD" w:rsidRPr="0006395C" w14:paraId="09004954" w14:textId="77777777" w:rsidTr="00792F2E">
        <w:trPr>
          <w:trHeight w:val="330"/>
        </w:trPr>
        <w:tc>
          <w:tcPr>
            <w:tcW w:w="4209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0CD1" w14:textId="77777777" w:rsidR="001531DD" w:rsidRPr="0006395C" w:rsidRDefault="001531DD" w:rsidP="006568BD">
            <w:pPr>
              <w:rPr>
                <w:color w:val="000000"/>
              </w:rPr>
            </w:pPr>
            <w:r w:rsidRPr="0006395C">
              <w:rPr>
                <w:color w:val="000000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E7FF9" w14:textId="77777777" w:rsidR="001531DD" w:rsidRPr="0006395C" w:rsidRDefault="00792F2E" w:rsidP="006568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35.475.007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6B09D522" w14:textId="77777777" w:rsidR="00792F2E" w:rsidRDefault="00792F2E" w:rsidP="00D37B4A">
      <w:pPr>
        <w:ind w:firstLine="708"/>
        <w:jc w:val="both"/>
      </w:pPr>
    </w:p>
    <w:p w14:paraId="73426D56" w14:textId="77777777" w:rsidR="00207BF0" w:rsidRDefault="004D0B09" w:rsidP="00D37B4A">
      <w:pPr>
        <w:ind w:firstLine="708"/>
        <w:jc w:val="both"/>
      </w:pPr>
      <w:r w:rsidRPr="004D0B09">
        <w:t xml:space="preserve">Tekuće pomoći proračunskim korisnicima iz proračuna koji im nije nadležan veće su kod Dječjeg vrtića Osijek za 666.044 kn. Potpisan je novi Ugovor s Općinom Čepin od 01. travnja 2020. godine, te je dogovoreno  plaćanje po punoj ekonomskoj cijeni za sufinanciranje cijene usluge. </w:t>
      </w:r>
      <w:r w:rsidR="00EA3328" w:rsidRPr="004D0B09">
        <w:t xml:space="preserve">Preostali iznos povećanja </w:t>
      </w:r>
      <w:r w:rsidR="00F3703B" w:rsidRPr="004D0B09">
        <w:t>prvenstveno je vezan za</w:t>
      </w:r>
      <w:r w:rsidR="00EA3328" w:rsidRPr="004D0B09">
        <w:t xml:space="preserve"> osnovne škole</w:t>
      </w:r>
      <w:r w:rsidR="00F3703B" w:rsidRPr="004D0B09">
        <w:t xml:space="preserve"> i to sredstva</w:t>
      </w:r>
      <w:r w:rsidR="00F3703B">
        <w:t xml:space="preserve"> od nadležnog Ministarstva vezano za </w:t>
      </w:r>
      <w:r>
        <w:t>provedbu Škole za život, nabavu udžbenika</w:t>
      </w:r>
      <w:r w:rsidR="00F3703B">
        <w:t xml:space="preserve"> te</w:t>
      </w:r>
      <w:r w:rsidR="00EA3328">
        <w:t xml:space="preserve"> za uplaćene EU projekte</w:t>
      </w:r>
      <w:r w:rsidR="00792F2E">
        <w:t>, pretežito</w:t>
      </w:r>
      <w:r w:rsidR="00EA3328">
        <w:t xml:space="preserve"> Erasmus+</w:t>
      </w:r>
      <w:r w:rsidR="00F3703B">
        <w:t>.</w:t>
      </w:r>
    </w:p>
    <w:p w14:paraId="56698356" w14:textId="77777777" w:rsidR="00D97CD7" w:rsidRDefault="00D97CD7" w:rsidP="00D37B4A">
      <w:pPr>
        <w:ind w:firstLine="708"/>
        <w:jc w:val="both"/>
      </w:pPr>
    </w:p>
    <w:p w14:paraId="28E06744" w14:textId="77777777" w:rsidR="00D97CD7" w:rsidRDefault="00D97CD7" w:rsidP="00D37B4A">
      <w:pPr>
        <w:ind w:firstLine="708"/>
        <w:jc w:val="both"/>
      </w:pPr>
    </w:p>
    <w:p w14:paraId="43E65A32" w14:textId="77777777" w:rsidR="00D97CD7" w:rsidRDefault="00D97CD7" w:rsidP="003E373E">
      <w:pPr>
        <w:jc w:val="both"/>
      </w:pPr>
      <w:r w:rsidRPr="00D97CD7">
        <w:rPr>
          <w:b/>
        </w:rPr>
        <w:t>AOP 077</w:t>
      </w:r>
      <w:r w:rsidR="003E373E">
        <w:t xml:space="preserve"> </w:t>
      </w:r>
      <w:r w:rsidR="003E373E">
        <w:tab/>
      </w:r>
      <w:r>
        <w:t>Smanjenje prihoda od kamata na oročena sredstva i depozita po viđenju vezano je za ugovorne uvjete u okviru Cash poola Grada Osijeka.</w:t>
      </w:r>
    </w:p>
    <w:p w14:paraId="771EF65E" w14:textId="77777777" w:rsidR="003E373E" w:rsidRDefault="003E373E" w:rsidP="003E373E">
      <w:pPr>
        <w:jc w:val="both"/>
      </w:pPr>
    </w:p>
    <w:p w14:paraId="79DE7BEA" w14:textId="77777777" w:rsidR="00D97CD7" w:rsidRPr="00207BF0" w:rsidRDefault="00D97CD7" w:rsidP="003E373E">
      <w:pPr>
        <w:jc w:val="both"/>
      </w:pPr>
      <w:r w:rsidRPr="00D97CD7">
        <w:rPr>
          <w:b/>
        </w:rPr>
        <w:t>AOP 078</w:t>
      </w:r>
      <w:r w:rsidR="003E373E">
        <w:t xml:space="preserve"> </w:t>
      </w:r>
      <w:r w:rsidR="003E373E">
        <w:tab/>
      </w:r>
      <w:r>
        <w:t>Smanjenje prihoda s osnova zateznih kamata vezano je za postupanje Grada uslijed epidemije virusa COVID-19, odnosno ne poduzimanje mjera naplate prema dužnicima uslijed propisanih mjera Vlade RH.</w:t>
      </w:r>
    </w:p>
    <w:p w14:paraId="6744C54E" w14:textId="77777777" w:rsidR="00B41640" w:rsidRPr="00DF0295" w:rsidRDefault="00B41640" w:rsidP="00B41640">
      <w:pPr>
        <w:ind w:firstLine="708"/>
        <w:jc w:val="both"/>
        <w:rPr>
          <w:iCs/>
          <w:highlight w:val="yellow"/>
        </w:rPr>
      </w:pPr>
    </w:p>
    <w:p w14:paraId="54522092" w14:textId="77777777" w:rsidR="00F3703B" w:rsidRDefault="00F3703B" w:rsidP="003E373E">
      <w:pPr>
        <w:jc w:val="both"/>
      </w:pPr>
      <w:r>
        <w:rPr>
          <w:b/>
          <w:iCs/>
        </w:rPr>
        <w:t>AOP 083</w:t>
      </w:r>
      <w:r w:rsidR="003E373E">
        <w:rPr>
          <w:iCs/>
        </w:rPr>
        <w:t xml:space="preserve"> </w:t>
      </w:r>
      <w:r w:rsidR="003E373E">
        <w:rPr>
          <w:iCs/>
        </w:rPr>
        <w:tab/>
      </w:r>
      <w:r w:rsidR="005742A1">
        <w:rPr>
          <w:iCs/>
        </w:rPr>
        <w:t xml:space="preserve">Prihodi od </w:t>
      </w:r>
      <w:r>
        <w:rPr>
          <w:iCs/>
        </w:rPr>
        <w:t xml:space="preserve">nefinancijske </w:t>
      </w:r>
      <w:r w:rsidR="005742A1">
        <w:rPr>
          <w:iCs/>
        </w:rPr>
        <w:t xml:space="preserve">imovine manji su za </w:t>
      </w:r>
      <w:r>
        <w:rPr>
          <w:iCs/>
        </w:rPr>
        <w:t>1</w:t>
      </w:r>
      <w:r w:rsidR="005742A1">
        <w:rPr>
          <w:iCs/>
        </w:rPr>
        <w:t>.</w:t>
      </w:r>
      <w:r>
        <w:rPr>
          <w:iCs/>
        </w:rPr>
        <w:t>969</w:t>
      </w:r>
      <w:r w:rsidR="005742A1">
        <w:rPr>
          <w:iCs/>
        </w:rPr>
        <w:t>.</w:t>
      </w:r>
      <w:r>
        <w:rPr>
          <w:iCs/>
        </w:rPr>
        <w:t>065</w:t>
      </w:r>
      <w:r w:rsidR="005742A1">
        <w:rPr>
          <w:iCs/>
        </w:rPr>
        <w:t xml:space="preserve"> kn u odnosu na 201</w:t>
      </w:r>
      <w:r>
        <w:rPr>
          <w:iCs/>
        </w:rPr>
        <w:t>9</w:t>
      </w:r>
      <w:r w:rsidR="005742A1">
        <w:rPr>
          <w:iCs/>
        </w:rPr>
        <w:t xml:space="preserve">. godinu. </w:t>
      </w:r>
      <w:r>
        <w:t xml:space="preserve">Manje ostvarenje vezano je za mjere Vlade Republike Hrvatske i Grada Osijeka, donesene s ciljem pomoći poduzetnicima u premošćivanju krize uzrokovane </w:t>
      </w:r>
      <w:proofErr w:type="spellStart"/>
      <w:r>
        <w:t>pandemijom</w:t>
      </w:r>
      <w:proofErr w:type="spellEnd"/>
      <w:r>
        <w:t xml:space="preserve"> </w:t>
      </w:r>
      <w:r w:rsidR="00B75029">
        <w:t>korona virusa</w:t>
      </w:r>
      <w:r>
        <w:t>. Uslijed spomenutih mjera Grada Osijeka za pomoć gospodarstvu, zakupci poslovnih prostora i javnih površina u vlasništvu Grada Osijeka oslobođeni su plaćanja zakupnine djelomično ili u potpunosti za mjesec travanj, svibanj, studeni i prosinac 2020. godine. Značajno su manji i prihodi s osnova spomeničke rente po m2 koji su ostvareni u iznosu 979.350 kn</w:t>
      </w:r>
      <w:r w:rsidR="00801138">
        <w:t xml:space="preserve">, što je u odnosu na 2019. smanjenje od 1.929.604 kn. Ovo smanjenje dijelom je vezano za oslobođenje plaćanja obveznika spomeničke rente za dva mjeseca 2020., a dijelom činjenicom da su rješenje za 2020. ispostavljena krajem 2020.Za nenaplaćena potraživanja u 2020. očekuje se povećano ostvarenje ovog prihoda u 2021.  </w:t>
      </w:r>
      <w:r>
        <w:t xml:space="preserve"> </w:t>
      </w:r>
    </w:p>
    <w:p w14:paraId="6DB855B5" w14:textId="77777777" w:rsidR="00D97CD7" w:rsidRPr="00957F7A" w:rsidRDefault="00D97CD7" w:rsidP="00F3703B">
      <w:pPr>
        <w:ind w:firstLine="708"/>
        <w:jc w:val="both"/>
      </w:pPr>
      <w:r>
        <w:t xml:space="preserve">U okviru ovoga AOP-a najznačajnije povećanje iznosilo je 1.653.801 kn i vezano je za </w:t>
      </w:r>
      <w:r>
        <w:rPr>
          <w:noProof/>
        </w:rPr>
        <w:t>rješenje HAKOM-a kojim se Hrvatskom telekomu d.d. utvrđuje obveza uplate povećanog iznosa naknade za pravo puta za postavljanje elektroničke komunikacije infrastrukture.</w:t>
      </w:r>
    </w:p>
    <w:p w14:paraId="53BCE455" w14:textId="77777777" w:rsidR="005742A1" w:rsidRPr="005742A1" w:rsidRDefault="005742A1" w:rsidP="00B41640">
      <w:pPr>
        <w:ind w:firstLine="708"/>
        <w:jc w:val="both"/>
        <w:rPr>
          <w:iCs/>
        </w:rPr>
      </w:pPr>
    </w:p>
    <w:p w14:paraId="10907A28" w14:textId="77777777" w:rsidR="00440891" w:rsidRPr="00DF0295" w:rsidRDefault="00440891" w:rsidP="001C7263">
      <w:pPr>
        <w:jc w:val="both"/>
        <w:rPr>
          <w:iCs/>
          <w:highlight w:val="yellow"/>
        </w:rPr>
      </w:pPr>
    </w:p>
    <w:p w14:paraId="11AB0BE1" w14:textId="77777777" w:rsidR="00D416CB" w:rsidRDefault="004C704D" w:rsidP="003E373E">
      <w:pPr>
        <w:jc w:val="both"/>
        <w:rPr>
          <w:iCs/>
        </w:rPr>
      </w:pPr>
      <w:r w:rsidRPr="00413835">
        <w:rPr>
          <w:b/>
          <w:iCs/>
        </w:rPr>
        <w:t>AOP 1</w:t>
      </w:r>
      <w:r w:rsidR="00D416CB">
        <w:rPr>
          <w:b/>
          <w:iCs/>
        </w:rPr>
        <w:t>16</w:t>
      </w:r>
      <w:r w:rsidR="003E373E">
        <w:rPr>
          <w:iCs/>
        </w:rPr>
        <w:t xml:space="preserve"> </w:t>
      </w:r>
      <w:r w:rsidR="003E373E">
        <w:rPr>
          <w:iCs/>
        </w:rPr>
        <w:tab/>
      </w:r>
      <w:r w:rsidR="00D416CB">
        <w:rPr>
          <w:iCs/>
        </w:rPr>
        <w:t>Ostali nespomenuti prihodi manji su za 6.389.054 kn ili 21,2% u odnosu na 2019. Najznačajnije smanjenje odnosi se na prihode od sufinanciranja  roditelja u cijeni vrtića uslijed epidemije COVID-19</w:t>
      </w:r>
      <w:r w:rsidR="0059422A">
        <w:rPr>
          <w:iCs/>
        </w:rPr>
        <w:t>, školske kuhinje i produženog boravka.</w:t>
      </w:r>
      <w:r w:rsidR="00D416CB">
        <w:rPr>
          <w:iCs/>
        </w:rPr>
        <w:t xml:space="preserve">  </w:t>
      </w:r>
    </w:p>
    <w:p w14:paraId="69F364D1" w14:textId="77777777" w:rsidR="00D416CB" w:rsidRDefault="00D416CB" w:rsidP="00B41640">
      <w:pPr>
        <w:ind w:firstLine="708"/>
        <w:jc w:val="both"/>
        <w:rPr>
          <w:iCs/>
        </w:rPr>
      </w:pPr>
    </w:p>
    <w:p w14:paraId="396F9AF7" w14:textId="77777777" w:rsidR="00D416CB" w:rsidRPr="00D416CB" w:rsidRDefault="00D416CB" w:rsidP="003E373E">
      <w:pPr>
        <w:jc w:val="both"/>
      </w:pPr>
      <w:r w:rsidRPr="00D416CB">
        <w:rPr>
          <w:b/>
          <w:iCs/>
        </w:rPr>
        <w:t>AOP 119</w:t>
      </w:r>
      <w:r w:rsidR="003E373E">
        <w:rPr>
          <w:iCs/>
        </w:rPr>
        <w:t xml:space="preserve"> </w:t>
      </w:r>
      <w:r w:rsidR="003E373E">
        <w:rPr>
          <w:iCs/>
        </w:rPr>
        <w:tab/>
      </w:r>
      <w:r>
        <w:rPr>
          <w:iCs/>
        </w:rPr>
        <w:t xml:space="preserve">Prihodi s osnova komunalnog doprinosa i komunalne naknade manji su </w:t>
      </w:r>
      <w:r w:rsidR="00413835">
        <w:rPr>
          <w:iCs/>
        </w:rPr>
        <w:t>za 2</w:t>
      </w:r>
      <w:r>
        <w:rPr>
          <w:iCs/>
        </w:rPr>
        <w:t>0</w:t>
      </w:r>
      <w:r w:rsidR="00413835">
        <w:rPr>
          <w:iCs/>
        </w:rPr>
        <w:t>.</w:t>
      </w:r>
      <w:r>
        <w:rPr>
          <w:iCs/>
        </w:rPr>
        <w:t>830</w:t>
      </w:r>
      <w:r w:rsidR="00413835">
        <w:rPr>
          <w:iCs/>
        </w:rPr>
        <w:t>.</w:t>
      </w:r>
      <w:r>
        <w:rPr>
          <w:iCs/>
        </w:rPr>
        <w:t>329</w:t>
      </w:r>
      <w:r w:rsidR="00413835">
        <w:rPr>
          <w:iCs/>
        </w:rPr>
        <w:t xml:space="preserve"> kn</w:t>
      </w:r>
      <w:r>
        <w:rPr>
          <w:iCs/>
        </w:rPr>
        <w:t xml:space="preserve"> ili 28,2%</w:t>
      </w:r>
      <w:r w:rsidR="00413835">
        <w:rPr>
          <w:iCs/>
        </w:rPr>
        <w:t xml:space="preserve">. </w:t>
      </w:r>
      <w:r>
        <w:t xml:space="preserve">Jedna od prvih mjera Grada Osijeka za ublažavanje negativnih posljedica uzrokovanih </w:t>
      </w:r>
      <w:proofErr w:type="spellStart"/>
      <w:r>
        <w:t>pandemijom</w:t>
      </w:r>
      <w:proofErr w:type="spellEnd"/>
      <w:r>
        <w:t xml:space="preserve"> </w:t>
      </w:r>
      <w:r w:rsidR="00B75029">
        <w:t>korona virusa</w:t>
      </w:r>
      <w:r>
        <w:t xml:space="preserve"> na gospodarstvo i građane bila je oslobođenje od plaćanja komunalne naknade za mjesece ožujak, travanj i svibanj </w:t>
      </w:r>
      <w:r w:rsidRPr="00D416CB">
        <w:t xml:space="preserve">2020. </w:t>
      </w:r>
      <w:r>
        <w:t xml:space="preserve">Sukladno navedenom, komunalna naknada ostvarena je u iznosu 43.244.174 kn što je 10.156.221 kn manje u odnosu na 2019. Komunalni doprinos ostvaren je u iznosu 9.680.246 kn. Smanjenje u odnosu na prethodnu </w:t>
      </w:r>
      <w:r w:rsidR="003B61FB">
        <w:lastRenderedPageBreak/>
        <w:t>godinu vezano je za uplaćeni komunalni doprinos za Školu nogometa NK Osijeka u 2019., koji se u 2020. trošio u okviru prenesenog viška prihoda za navedenu namjenu.</w:t>
      </w:r>
    </w:p>
    <w:p w14:paraId="0998C4EF" w14:textId="77777777" w:rsidR="003B61FB" w:rsidRDefault="003B61FB" w:rsidP="00B41640">
      <w:pPr>
        <w:ind w:firstLine="708"/>
        <w:jc w:val="both"/>
      </w:pPr>
    </w:p>
    <w:p w14:paraId="44C7B813" w14:textId="77777777" w:rsidR="0049238B" w:rsidRDefault="003B61FB" w:rsidP="003E373E">
      <w:pPr>
        <w:jc w:val="both"/>
      </w:pPr>
      <w:r w:rsidRPr="00A40529">
        <w:rPr>
          <w:b/>
        </w:rPr>
        <w:t>AOP 123</w:t>
      </w:r>
      <w:r w:rsidR="003E373E">
        <w:t xml:space="preserve"> </w:t>
      </w:r>
      <w:r w:rsidR="003E373E">
        <w:tab/>
      </w:r>
      <w:r>
        <w:t xml:space="preserve">Smanjenje u okviru ovoga AOP-a u iznosu 1.924.844 kn odnosi se na vlastite prihode proračunskih korisnika (prodaja ulaznica, najam školskih dvorana i dr.) te prihoda od donacija, koji su uslijed epidemije COVID-19 značajno manji. </w:t>
      </w:r>
    </w:p>
    <w:p w14:paraId="3CED9408" w14:textId="77777777" w:rsidR="003B61FB" w:rsidRDefault="003B61FB" w:rsidP="00B41640">
      <w:pPr>
        <w:ind w:firstLine="708"/>
        <w:jc w:val="both"/>
      </w:pPr>
    </w:p>
    <w:p w14:paraId="0154DCAA" w14:textId="77777777" w:rsidR="00A40529" w:rsidRPr="004F0104" w:rsidRDefault="003B61FB" w:rsidP="003E373E">
      <w:pPr>
        <w:jc w:val="both"/>
      </w:pPr>
      <w:r w:rsidRPr="00A40529">
        <w:rPr>
          <w:b/>
        </w:rPr>
        <w:t>AOP 147</w:t>
      </w:r>
      <w:r w:rsidR="003E373E">
        <w:t xml:space="preserve"> </w:t>
      </w:r>
      <w:r w:rsidR="003E373E">
        <w:tab/>
      </w:r>
      <w:r>
        <w:t>Značajno su manji i Ostali prihodi. Ostv</w:t>
      </w:r>
      <w:r w:rsidR="00A40529">
        <w:t>a</w:t>
      </w:r>
      <w:r>
        <w:t xml:space="preserve">reni su u iznosu 1.014.376 kn, odnosno </w:t>
      </w:r>
      <w:r w:rsidR="00A40529">
        <w:t>1.679.601 kn manje u odnosu na 2019.</w:t>
      </w:r>
      <w:r w:rsidR="00A40529" w:rsidRPr="00A40529">
        <w:t xml:space="preserve"> </w:t>
      </w:r>
      <w:r w:rsidR="00A40529" w:rsidRPr="004F0104">
        <w:t>kada je na temelju na temelju Presude Županijskog suda u Osijeku Gž-1047/2017-9 od 13.06.2019. godine izvršena izravna naplata novčane tražbine u iznosu od 1.361.993 kn.</w:t>
      </w:r>
    </w:p>
    <w:p w14:paraId="2FA20C7F" w14:textId="77777777" w:rsidR="00A40529" w:rsidRPr="00A2429E" w:rsidRDefault="00A40529" w:rsidP="00A40529">
      <w:pPr>
        <w:jc w:val="both"/>
        <w:rPr>
          <w:highlight w:val="yellow"/>
        </w:rPr>
      </w:pPr>
    </w:p>
    <w:p w14:paraId="76C63A74" w14:textId="77777777" w:rsidR="003104C5" w:rsidRDefault="003104C5">
      <w:pPr>
        <w:spacing w:after="200" w:line="276" w:lineRule="auto"/>
        <w:rPr>
          <w:b/>
          <w:iCs/>
        </w:rPr>
      </w:pPr>
    </w:p>
    <w:p w14:paraId="2DBD6313" w14:textId="77777777" w:rsidR="00263409" w:rsidRPr="00BF2B8F" w:rsidRDefault="00263409" w:rsidP="001976BB">
      <w:pPr>
        <w:ind w:firstLine="708"/>
        <w:jc w:val="both"/>
        <w:rPr>
          <w:b/>
          <w:iCs/>
        </w:rPr>
      </w:pPr>
      <w:r w:rsidRPr="00BF2B8F">
        <w:rPr>
          <w:b/>
          <w:iCs/>
        </w:rPr>
        <w:t>Rashodi poslovanja</w:t>
      </w:r>
    </w:p>
    <w:p w14:paraId="558E9390" w14:textId="77777777" w:rsidR="00263409" w:rsidRPr="00BF2B8F" w:rsidRDefault="00263409" w:rsidP="001976BB">
      <w:pPr>
        <w:ind w:firstLine="708"/>
        <w:jc w:val="both"/>
        <w:rPr>
          <w:iCs/>
        </w:rPr>
      </w:pPr>
    </w:p>
    <w:p w14:paraId="59BFD5F9" w14:textId="77777777" w:rsidR="000321BE" w:rsidRPr="00BF2B8F" w:rsidRDefault="00BF2B8F" w:rsidP="001976BB">
      <w:pPr>
        <w:ind w:firstLine="708"/>
        <w:jc w:val="both"/>
        <w:rPr>
          <w:iCs/>
        </w:rPr>
      </w:pPr>
      <w:r w:rsidRPr="00BF2B8F">
        <w:rPr>
          <w:iCs/>
        </w:rPr>
        <w:t>Rashodi poslovanja u 20</w:t>
      </w:r>
      <w:r w:rsidR="003B61FB">
        <w:rPr>
          <w:iCs/>
        </w:rPr>
        <w:t>20</w:t>
      </w:r>
      <w:r w:rsidRPr="00BF2B8F">
        <w:rPr>
          <w:iCs/>
        </w:rPr>
        <w:t>. iznose 5</w:t>
      </w:r>
      <w:r w:rsidR="00A40529">
        <w:rPr>
          <w:iCs/>
        </w:rPr>
        <w:t>31</w:t>
      </w:r>
      <w:r w:rsidRPr="00BF2B8F">
        <w:rPr>
          <w:iCs/>
        </w:rPr>
        <w:t>.</w:t>
      </w:r>
      <w:r w:rsidR="00A40529">
        <w:rPr>
          <w:iCs/>
        </w:rPr>
        <w:t>962</w:t>
      </w:r>
      <w:r w:rsidRPr="00BF2B8F">
        <w:rPr>
          <w:iCs/>
        </w:rPr>
        <w:t>.</w:t>
      </w:r>
      <w:r w:rsidR="00A40529">
        <w:rPr>
          <w:iCs/>
        </w:rPr>
        <w:t>170</w:t>
      </w:r>
      <w:r w:rsidRPr="00BF2B8F">
        <w:rPr>
          <w:iCs/>
        </w:rPr>
        <w:t xml:space="preserve"> kn što je za </w:t>
      </w:r>
      <w:r w:rsidR="00A40529">
        <w:rPr>
          <w:iCs/>
        </w:rPr>
        <w:t>8</w:t>
      </w:r>
      <w:r w:rsidRPr="00BF2B8F">
        <w:rPr>
          <w:iCs/>
        </w:rPr>
        <w:t>.</w:t>
      </w:r>
      <w:r w:rsidR="00A40529">
        <w:rPr>
          <w:iCs/>
        </w:rPr>
        <w:t>335</w:t>
      </w:r>
      <w:r w:rsidRPr="00BF2B8F">
        <w:rPr>
          <w:iCs/>
        </w:rPr>
        <w:t>.</w:t>
      </w:r>
      <w:r w:rsidR="00A40529">
        <w:rPr>
          <w:iCs/>
        </w:rPr>
        <w:t>622</w:t>
      </w:r>
      <w:r w:rsidRPr="00BF2B8F">
        <w:rPr>
          <w:iCs/>
        </w:rPr>
        <w:t xml:space="preserve"> kn više u odnosu na 201</w:t>
      </w:r>
      <w:r w:rsidR="00A40529">
        <w:rPr>
          <w:iCs/>
        </w:rPr>
        <w:t>9</w:t>
      </w:r>
      <w:r w:rsidR="000321BE" w:rsidRPr="00BF2B8F">
        <w:rPr>
          <w:iCs/>
        </w:rPr>
        <w:t>.</w:t>
      </w:r>
      <w:r w:rsidR="008B3A13" w:rsidRPr="00BF2B8F">
        <w:rPr>
          <w:iCs/>
        </w:rPr>
        <w:t xml:space="preserve"> </w:t>
      </w:r>
    </w:p>
    <w:p w14:paraId="2F80A96B" w14:textId="77777777" w:rsidR="004966D7" w:rsidRPr="00DF0295" w:rsidRDefault="004966D7" w:rsidP="001976BB">
      <w:pPr>
        <w:ind w:firstLine="708"/>
        <w:jc w:val="both"/>
        <w:rPr>
          <w:iCs/>
          <w:highlight w:val="yellow"/>
        </w:rPr>
      </w:pPr>
    </w:p>
    <w:p w14:paraId="75F0404A" w14:textId="77777777" w:rsidR="000321BE" w:rsidRPr="00875A0F" w:rsidRDefault="00017C72" w:rsidP="000321BE">
      <w:pPr>
        <w:ind w:firstLine="708"/>
        <w:jc w:val="both"/>
        <w:rPr>
          <w:iCs/>
        </w:rPr>
      </w:pPr>
      <w:r w:rsidRPr="00875A0F">
        <w:rPr>
          <w:iCs/>
        </w:rPr>
        <w:t>R</w:t>
      </w:r>
      <w:r w:rsidR="009072E5" w:rsidRPr="00875A0F">
        <w:rPr>
          <w:iCs/>
        </w:rPr>
        <w:t>ashod</w:t>
      </w:r>
      <w:r w:rsidRPr="00875A0F">
        <w:rPr>
          <w:iCs/>
        </w:rPr>
        <w:t>i</w:t>
      </w:r>
      <w:r w:rsidR="000321BE" w:rsidRPr="00875A0F">
        <w:rPr>
          <w:iCs/>
        </w:rPr>
        <w:t xml:space="preserve"> poslovanja Grada</w:t>
      </w:r>
      <w:r w:rsidRPr="00875A0F">
        <w:rPr>
          <w:iCs/>
        </w:rPr>
        <w:t xml:space="preserve"> Osijeka</w:t>
      </w:r>
      <w:r w:rsidR="000321BE" w:rsidRPr="00875A0F">
        <w:rPr>
          <w:iCs/>
        </w:rPr>
        <w:t xml:space="preserve"> i proračunskih korisnika</w:t>
      </w:r>
      <w:r w:rsidR="005643B4">
        <w:rPr>
          <w:iCs/>
        </w:rPr>
        <w:t xml:space="preserve"> u  2020.</w:t>
      </w:r>
      <w:r w:rsidR="000321BE" w:rsidRPr="00875A0F">
        <w:rPr>
          <w:iCs/>
        </w:rPr>
        <w:t xml:space="preserve"> </w:t>
      </w:r>
      <w:r w:rsidRPr="00875A0F">
        <w:rPr>
          <w:iCs/>
        </w:rPr>
        <w:t>dani su u nastavku:</w:t>
      </w:r>
    </w:p>
    <w:p w14:paraId="1CDF4F98" w14:textId="77777777" w:rsidR="004966D7" w:rsidRPr="00DF0295" w:rsidRDefault="004966D7" w:rsidP="001976BB">
      <w:pPr>
        <w:ind w:firstLine="708"/>
        <w:jc w:val="both"/>
        <w:rPr>
          <w:iCs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0"/>
        <w:gridCol w:w="3780"/>
      </w:tblGrid>
      <w:tr w:rsidR="009072E5" w:rsidRPr="00DF0295" w14:paraId="562C34A5" w14:textId="77777777" w:rsidTr="005643B4">
        <w:trPr>
          <w:trHeight w:val="315"/>
        </w:trPr>
        <w:tc>
          <w:tcPr>
            <w:tcW w:w="30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D45AC" w14:textId="77777777" w:rsidR="009072E5" w:rsidRPr="003E373E" w:rsidRDefault="009072E5" w:rsidP="009072E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3E373E">
              <w:rPr>
                <w:rFonts w:ascii="Calibri" w:hAnsi="Calibri"/>
                <w:b/>
                <w:color w:val="000000"/>
                <w:sz w:val="22"/>
                <w:szCs w:val="22"/>
              </w:rPr>
              <w:t>Razred 3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6ADF4" w14:textId="77777777" w:rsidR="009072E5" w:rsidRPr="00875A0F" w:rsidRDefault="009072E5" w:rsidP="009072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72E5" w:rsidRPr="00DF0295" w14:paraId="6F1D9CED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0F5" w14:textId="77777777" w:rsidR="009072E5" w:rsidRPr="00875A0F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Grad Osijek</w:t>
            </w:r>
            <w:r w:rsidR="006F0BA1">
              <w:rPr>
                <w:rFonts w:ascii="Calibri" w:hAnsi="Calibri"/>
                <w:color w:val="000000"/>
                <w:sz w:val="22"/>
                <w:szCs w:val="22"/>
              </w:rPr>
              <w:t xml:space="preserve"> (uključujući vijeća nacionalnih manjina)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7119" w14:textId="77777777" w:rsidR="009072E5" w:rsidRPr="00875A0F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</w:tr>
      <w:tr w:rsidR="009072E5" w:rsidRPr="00DF0295" w14:paraId="7126009E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2FEC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6C71" w14:textId="77777777" w:rsidR="009072E5" w:rsidRPr="00DD2FE3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044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</w:tr>
      <w:tr w:rsidR="009072E5" w:rsidRPr="00DF0295" w14:paraId="3BAE785E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97DF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2432" w14:textId="77777777" w:rsidR="009072E5" w:rsidRPr="00DD2FE3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5.194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</w:tr>
      <w:tr w:rsidR="009072E5" w:rsidRPr="00DF0295" w14:paraId="75F8D113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7EB3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69F" w14:textId="77777777" w:rsidR="009072E5" w:rsidRPr="00DD2FE3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954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491</w:t>
            </w:r>
          </w:p>
        </w:tc>
      </w:tr>
      <w:tr w:rsidR="009072E5" w:rsidRPr="00DF0295" w14:paraId="74813DD3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B266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CD7F" w14:textId="77777777" w:rsidR="009072E5" w:rsidRPr="00DD2FE3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</w:tr>
      <w:tr w:rsidR="009072E5" w:rsidRPr="00DF0295" w14:paraId="5CE2537A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CCD" w14:textId="77777777" w:rsidR="009072E5" w:rsidRPr="00875A0F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Javna profesion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lna vatrogasna postrojba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5C6" w14:textId="77777777" w:rsidR="009072E5" w:rsidRPr="00875A0F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</w:p>
        </w:tc>
      </w:tr>
      <w:tr w:rsidR="00875A0F" w:rsidRPr="00DF0295" w14:paraId="2412B23C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95226" w14:textId="77777777" w:rsidR="00875A0F" w:rsidRPr="00DD2FE3" w:rsidRDefault="00875A0F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7784" w14:textId="77777777" w:rsidR="00875A0F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085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984</w:t>
            </w:r>
          </w:p>
        </w:tc>
      </w:tr>
      <w:tr w:rsidR="00875A0F" w:rsidRPr="00DF0295" w14:paraId="75093077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72DF" w14:textId="77777777" w:rsidR="00875A0F" w:rsidRPr="00875A0F" w:rsidRDefault="00875A0F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D55E" w14:textId="77777777" w:rsidR="00875A0F" w:rsidRPr="00875A0F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867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922</w:t>
            </w:r>
          </w:p>
        </w:tc>
      </w:tr>
      <w:tr w:rsidR="009072E5" w:rsidRPr="00DF0295" w14:paraId="6BC8809D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43B5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67F9" w14:textId="77777777" w:rsidR="009072E5" w:rsidRPr="00DD2FE3" w:rsidRDefault="00263364" w:rsidP="009072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6.096.639</w:t>
            </w:r>
          </w:p>
        </w:tc>
      </w:tr>
      <w:tr w:rsidR="009072E5" w:rsidRPr="00DF0295" w14:paraId="351ECDDD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F9FB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7E0" w14:textId="77777777" w:rsidR="009072E5" w:rsidRPr="00DD2FE3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035</w:t>
            </w:r>
          </w:p>
        </w:tc>
      </w:tr>
      <w:tr w:rsidR="009072E5" w:rsidRPr="00DF0295" w14:paraId="2715E0C7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67AE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7A98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6.0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</w:tr>
      <w:tr w:rsidR="009072E5" w:rsidRPr="00DF0295" w14:paraId="241F416C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F7AE" w14:textId="77777777" w:rsidR="009072E5" w:rsidRPr="00760C0C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0C0C">
              <w:rPr>
                <w:rFonts w:ascii="Calibri" w:hAnsi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8954" w14:textId="77777777" w:rsidR="009072E5" w:rsidRPr="00760C0C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760C0C" w:rsidRPr="00760C0C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079</w:t>
            </w:r>
            <w:r w:rsidR="00760C0C" w:rsidRPr="00760C0C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084</w:t>
            </w:r>
          </w:p>
        </w:tc>
      </w:tr>
      <w:tr w:rsidR="009072E5" w:rsidRPr="00DF0295" w14:paraId="3D77CF06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80E8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8B9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916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831</w:t>
            </w:r>
          </w:p>
        </w:tc>
      </w:tr>
      <w:tr w:rsidR="009072E5" w:rsidRPr="00DF0295" w14:paraId="328D0700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D66" w14:textId="77777777" w:rsidR="009072E5" w:rsidRPr="00DF0295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231" w14:textId="77777777" w:rsidR="009072E5" w:rsidRPr="00DF0295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095</w:t>
            </w:r>
          </w:p>
        </w:tc>
      </w:tr>
      <w:tr w:rsidR="009072E5" w:rsidRPr="00DF0295" w14:paraId="786E02A6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637D" w14:textId="77777777" w:rsidR="009072E5" w:rsidRPr="00C61D19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A01B" w14:textId="77777777" w:rsidR="009072E5" w:rsidRPr="00DF0295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426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064</w:t>
            </w:r>
          </w:p>
        </w:tc>
      </w:tr>
      <w:tr w:rsidR="009072E5" w:rsidRPr="00DF0295" w14:paraId="10A83F7A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8827" w14:textId="77777777" w:rsidR="009072E5" w:rsidRPr="00C61D19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OŠ Jagoda Truhelka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FEBB" w14:textId="77777777" w:rsidR="009072E5" w:rsidRPr="00DF0295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817</w:t>
            </w:r>
          </w:p>
        </w:tc>
      </w:tr>
      <w:tr w:rsidR="009072E5" w:rsidRPr="00DF0295" w14:paraId="5C6A1E04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E23F" w14:textId="77777777" w:rsidR="009072E5" w:rsidRPr="00DF0295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43D5" w14:textId="77777777" w:rsidR="009072E5" w:rsidRPr="00DF0295" w:rsidRDefault="00C61D19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718</w:t>
            </w: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</w:tr>
      <w:tr w:rsidR="009072E5" w:rsidRPr="00DF0295" w14:paraId="3B9B0DA3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EE9" w14:textId="77777777" w:rsidR="009072E5" w:rsidRPr="00875A0F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FA38" w14:textId="77777777" w:rsidR="009072E5" w:rsidRPr="00875A0F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  <w:r w:rsidR="00875A0F"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</w:tr>
      <w:tr w:rsidR="009072E5" w:rsidRPr="00DF0295" w14:paraId="3F739DA0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125" w14:textId="77777777" w:rsidR="009072E5" w:rsidRPr="00875A0F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47E" w14:textId="77777777" w:rsidR="009072E5" w:rsidRPr="00875A0F" w:rsidRDefault="00875A0F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676</w:t>
            </w: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782</w:t>
            </w:r>
          </w:p>
        </w:tc>
      </w:tr>
      <w:tr w:rsidR="009072E5" w:rsidRPr="00DF0295" w14:paraId="5B541B5D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D3AC" w14:textId="77777777" w:rsidR="009072E5" w:rsidRPr="00875A0F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170" w14:textId="77777777" w:rsidR="009072E5" w:rsidRPr="00875A0F" w:rsidRDefault="00875A0F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  <w:r w:rsidRPr="00875A0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887</w:t>
            </w:r>
          </w:p>
        </w:tc>
      </w:tr>
      <w:tr w:rsidR="009072E5" w:rsidRPr="00DF0295" w14:paraId="74518145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AB48" w14:textId="77777777" w:rsidR="009072E5" w:rsidRPr="00C61D19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C398" w14:textId="77777777" w:rsidR="009072E5" w:rsidRPr="00DF0295" w:rsidRDefault="00263364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</w:tr>
      <w:tr w:rsidR="009072E5" w:rsidRPr="00DF0295" w14:paraId="7F9AB4C7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3936" w14:textId="77777777" w:rsidR="009072E5" w:rsidRPr="00C61D19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C448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9.0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010</w:t>
            </w:r>
          </w:p>
        </w:tc>
      </w:tr>
      <w:tr w:rsidR="009072E5" w:rsidRPr="00DF0295" w14:paraId="3A046C5B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017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FE7B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514</w:t>
            </w:r>
          </w:p>
        </w:tc>
      </w:tr>
      <w:tr w:rsidR="009072E5" w:rsidRPr="00DF0295" w14:paraId="681FD7C1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753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OŠ Ljudevita Gaja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C3F1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</w:tr>
      <w:tr w:rsidR="009072E5" w:rsidRPr="00DF0295" w14:paraId="20B98CE7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F3D6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1B9" w14:textId="77777777" w:rsidR="009072E5" w:rsidRPr="00DD2FE3" w:rsidRDefault="00DD2FE3" w:rsidP="0026336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854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263364"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</w:p>
        </w:tc>
      </w:tr>
      <w:tr w:rsidR="009072E5" w:rsidRPr="00DF0295" w14:paraId="31B54352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377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2E4" w14:textId="77777777" w:rsidR="009072E5" w:rsidRPr="00DD2FE3" w:rsidRDefault="00DD2FE3" w:rsidP="006F0B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  <w:r w:rsidR="006F0BA1">
              <w:rPr>
                <w:rFonts w:ascii="Calibri" w:hAnsi="Calibri"/>
                <w:color w:val="000000"/>
                <w:sz w:val="22"/>
                <w:szCs w:val="22"/>
              </w:rPr>
              <w:t>709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6F0BA1"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</w:tr>
      <w:tr w:rsidR="009072E5" w:rsidRPr="00DF0295" w14:paraId="57D052EE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6700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60C" w14:textId="5E183C4D" w:rsidR="009072E5" w:rsidRPr="00DD2FE3" w:rsidRDefault="00DD2FE3" w:rsidP="001133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  <w:r w:rsidR="006F0BA1">
              <w:rPr>
                <w:rFonts w:ascii="Calibri" w:hAnsi="Calibri"/>
                <w:color w:val="000000"/>
                <w:sz w:val="22"/>
                <w:szCs w:val="22"/>
              </w:rPr>
              <w:t>997</w:t>
            </w: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6F0BA1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  <w:r w:rsidR="001133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9072E5" w:rsidRPr="00DF0295" w14:paraId="5D27B6DD" w14:textId="77777777" w:rsidTr="005643B4">
        <w:trPr>
          <w:trHeight w:val="300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539F" w14:textId="77777777" w:rsidR="009072E5" w:rsidRPr="00DD2FE3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D2FE3">
              <w:rPr>
                <w:rFonts w:ascii="Calibri" w:hAnsi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DF78" w14:textId="77777777" w:rsidR="009072E5" w:rsidRPr="00DD2FE3" w:rsidRDefault="006F0BA1" w:rsidP="006F0B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  <w:r w:rsidR="00DD2FE3" w:rsidRPr="00DD2FE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</w:tr>
      <w:tr w:rsidR="009072E5" w:rsidRPr="00DF0295" w14:paraId="1AFBD2EE" w14:textId="77777777" w:rsidTr="005643B4">
        <w:trPr>
          <w:trHeight w:val="315"/>
        </w:trPr>
        <w:tc>
          <w:tcPr>
            <w:tcW w:w="303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F25EF" w14:textId="77777777" w:rsidR="009072E5" w:rsidRPr="00BF2B8F" w:rsidRDefault="00BF2B8F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F2B8F">
              <w:rPr>
                <w:rFonts w:ascii="Calibri" w:hAnsi="Calibri"/>
                <w:color w:val="000000"/>
                <w:sz w:val="22"/>
                <w:szCs w:val="22"/>
              </w:rPr>
              <w:t>Ukupno rashodi</w:t>
            </w:r>
            <w:r w:rsidR="009072E5" w:rsidRPr="00BF2B8F">
              <w:rPr>
                <w:rFonts w:ascii="Calibri" w:hAnsi="Calibri"/>
                <w:color w:val="000000"/>
                <w:sz w:val="22"/>
                <w:szCs w:val="22"/>
              </w:rPr>
              <w:t xml:space="preserve"> poslovanja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F7F2003" w14:textId="1B914A4A" w:rsidR="009072E5" w:rsidRPr="00BF2B8F" w:rsidRDefault="006F0BA1" w:rsidP="001133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t>636.050.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  <w:r w:rsidR="001133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9072E5" w:rsidRPr="00DF0295" w14:paraId="25EC15E4" w14:textId="77777777" w:rsidTr="005643B4">
        <w:trPr>
          <w:trHeight w:val="315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C502" w14:textId="77777777" w:rsidR="009072E5" w:rsidRPr="00DF0295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C61D19">
              <w:rPr>
                <w:rFonts w:ascii="Calibri" w:hAnsi="Calibri"/>
                <w:color w:val="000000"/>
                <w:sz w:val="22"/>
                <w:szCs w:val="22"/>
              </w:rPr>
              <w:t>Prijenos korisnicima (konto 671)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1AE" w14:textId="22E1EA9A" w:rsidR="009072E5" w:rsidRPr="00DF0295" w:rsidRDefault="006F0BA1" w:rsidP="00113347">
            <w:pPr>
              <w:jc w:val="righ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062</w:t>
            </w:r>
            <w:r w:rsidR="00C61D19" w:rsidRPr="00C61D1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  <w:r w:rsidR="001133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BF2B8F" w:rsidRPr="00DF0295" w14:paraId="57BA7FC8" w14:textId="77777777" w:rsidTr="005643B4">
        <w:trPr>
          <w:trHeight w:val="315"/>
        </w:trPr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9209" w14:textId="77777777" w:rsidR="00BF2B8F" w:rsidRPr="00C61D19" w:rsidRDefault="00BF2B8F" w:rsidP="009072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Tekući prijenosi između proračunskih korisnika istog proračuna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F44AD" w14:textId="77777777" w:rsidR="00BF2B8F" w:rsidRPr="00C61D19" w:rsidRDefault="006F0BA1" w:rsidP="006F0BA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 w:rsidR="00BF2B8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074</w:t>
            </w:r>
          </w:p>
        </w:tc>
      </w:tr>
      <w:tr w:rsidR="009072E5" w:rsidRPr="00113347" w14:paraId="7C006ED3" w14:textId="77777777" w:rsidTr="005643B4">
        <w:trPr>
          <w:trHeight w:val="315"/>
        </w:trPr>
        <w:tc>
          <w:tcPr>
            <w:tcW w:w="303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4FAD1" w14:textId="77777777" w:rsidR="009072E5" w:rsidRPr="00DF0295" w:rsidRDefault="009072E5" w:rsidP="009072E5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BF2B8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6F1A1" w14:textId="678EEAE4" w:rsidR="009072E5" w:rsidRPr="00113347" w:rsidRDefault="00BF2B8F" w:rsidP="001133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33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6F0BA1" w:rsidRPr="0011334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Pr="0011334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6F0BA1" w:rsidRPr="00113347">
              <w:rPr>
                <w:rFonts w:ascii="Calibri" w:hAnsi="Calibri"/>
                <w:color w:val="000000"/>
                <w:sz w:val="22"/>
                <w:szCs w:val="22"/>
              </w:rPr>
              <w:t>962</w:t>
            </w:r>
            <w:r w:rsidRPr="0011334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113347" w:rsidRPr="00113347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bookmarkStart w:id="0" w:name="_GoBack"/>
        <w:bookmarkEnd w:id="0"/>
      </w:tr>
    </w:tbl>
    <w:p w14:paraId="37A87D7A" w14:textId="77777777" w:rsidR="004966D7" w:rsidRPr="00DF0295" w:rsidRDefault="004966D7" w:rsidP="001976BB">
      <w:pPr>
        <w:ind w:firstLine="708"/>
        <w:jc w:val="both"/>
        <w:rPr>
          <w:iCs/>
          <w:highlight w:val="yellow"/>
        </w:rPr>
      </w:pPr>
    </w:p>
    <w:p w14:paraId="55E28FA7" w14:textId="77777777" w:rsidR="00C163A6" w:rsidRDefault="00C163A6" w:rsidP="00017C72">
      <w:pPr>
        <w:ind w:firstLine="708"/>
        <w:jc w:val="both"/>
        <w:rPr>
          <w:iCs/>
          <w:highlight w:val="yellow"/>
        </w:rPr>
      </w:pPr>
    </w:p>
    <w:p w14:paraId="6FADEDCE" w14:textId="131AFE44" w:rsidR="006568BD" w:rsidRPr="00060459" w:rsidRDefault="00C163A6" w:rsidP="006568BD">
      <w:pPr>
        <w:jc w:val="both"/>
      </w:pPr>
      <w:r w:rsidRPr="006568BD">
        <w:rPr>
          <w:iCs/>
        </w:rPr>
        <w:t xml:space="preserve">U procesu konsolidacije eliminiraju se prihodi iskazani u okviru konta 671 (AOP 131) i rashodi iskazani u okviru računa 367 (AOP 234), ukupno </w:t>
      </w:r>
      <w:r w:rsidR="004368AE" w:rsidRPr="006568BD">
        <w:rPr>
          <w:iCs/>
        </w:rPr>
        <w:t>104</w:t>
      </w:r>
      <w:r w:rsidRPr="006568BD">
        <w:rPr>
          <w:iCs/>
        </w:rPr>
        <w:t>.</w:t>
      </w:r>
      <w:r w:rsidR="004368AE" w:rsidRPr="006568BD">
        <w:rPr>
          <w:iCs/>
        </w:rPr>
        <w:t>088</w:t>
      </w:r>
      <w:r w:rsidRPr="006568BD">
        <w:rPr>
          <w:iCs/>
        </w:rPr>
        <w:t>.</w:t>
      </w:r>
      <w:r w:rsidR="004368AE" w:rsidRPr="006568BD">
        <w:rPr>
          <w:iCs/>
        </w:rPr>
        <w:t>05</w:t>
      </w:r>
      <w:r w:rsidR="00113347">
        <w:rPr>
          <w:iCs/>
        </w:rPr>
        <w:t>5</w:t>
      </w:r>
      <w:r w:rsidRPr="006568BD">
        <w:rPr>
          <w:iCs/>
        </w:rPr>
        <w:t xml:space="preserve"> kn</w:t>
      </w:r>
      <w:r w:rsidR="006568BD" w:rsidRPr="006568BD">
        <w:rPr>
          <w:iCs/>
        </w:rPr>
        <w:t>.</w:t>
      </w:r>
      <w:r w:rsidRPr="006568BD">
        <w:rPr>
          <w:iCs/>
        </w:rPr>
        <w:t xml:space="preserve"> što je za </w:t>
      </w:r>
      <w:r w:rsidR="006568BD" w:rsidRPr="006568BD">
        <w:rPr>
          <w:iCs/>
        </w:rPr>
        <w:t>10</w:t>
      </w:r>
      <w:r w:rsidRPr="006568BD">
        <w:rPr>
          <w:iCs/>
        </w:rPr>
        <w:t>.</w:t>
      </w:r>
      <w:r w:rsidR="006568BD" w:rsidRPr="006568BD">
        <w:rPr>
          <w:iCs/>
        </w:rPr>
        <w:t>930</w:t>
      </w:r>
      <w:r w:rsidRPr="006568BD">
        <w:rPr>
          <w:iCs/>
        </w:rPr>
        <w:t>.</w:t>
      </w:r>
      <w:r w:rsidR="006568BD" w:rsidRPr="006568BD">
        <w:rPr>
          <w:iCs/>
        </w:rPr>
        <w:t>96</w:t>
      </w:r>
      <w:r w:rsidR="00113347">
        <w:rPr>
          <w:iCs/>
        </w:rPr>
        <w:t>4</w:t>
      </w:r>
      <w:r w:rsidRPr="006568BD">
        <w:rPr>
          <w:iCs/>
        </w:rPr>
        <w:t xml:space="preserve"> kn više u odnosu na 201</w:t>
      </w:r>
      <w:r w:rsidR="006568BD" w:rsidRPr="006568BD">
        <w:rPr>
          <w:iCs/>
        </w:rPr>
        <w:t>9.</w:t>
      </w:r>
      <w:r w:rsidRPr="006568BD">
        <w:rPr>
          <w:iCs/>
        </w:rPr>
        <w:t xml:space="preserve"> </w:t>
      </w:r>
      <w:r w:rsidR="006568BD">
        <w:t xml:space="preserve">Povećanje u okviru ovoga AOP-a prvenstveno je posljedica potrebe za osiguranjem dodatnih sredstava za </w:t>
      </w:r>
      <w:r w:rsidR="003E373E">
        <w:t xml:space="preserve">nesmetano </w:t>
      </w:r>
      <w:r w:rsidR="006568BD">
        <w:t>funkcioniranje poslovanja dijela proračunskih korisnika, ugroženog uslijed pandemije  virusa COVID-19. To se prvenstveno odnosi na Dječji vrtić Osijek, Hrvatsko narodno kazalište u Osijeku i Dječje kazalište Branka Mihaljevića.</w:t>
      </w:r>
    </w:p>
    <w:p w14:paraId="7E88E680" w14:textId="77777777" w:rsidR="00F66ED3" w:rsidRDefault="006568BD" w:rsidP="006568BD">
      <w:pPr>
        <w:jc w:val="both"/>
        <w:rPr>
          <w:iCs/>
        </w:rPr>
      </w:pPr>
      <w:r>
        <w:rPr>
          <w:iCs/>
        </w:rPr>
        <w:t xml:space="preserve">Gore navedeni iznos prijenosa uključuje i </w:t>
      </w:r>
      <w:r w:rsidR="00C163A6" w:rsidRPr="006568BD">
        <w:rPr>
          <w:iCs/>
        </w:rPr>
        <w:t>1.</w:t>
      </w:r>
      <w:r w:rsidRPr="006568BD">
        <w:rPr>
          <w:iCs/>
        </w:rPr>
        <w:t>0</w:t>
      </w:r>
      <w:r w:rsidR="00C163A6" w:rsidRPr="006568BD">
        <w:rPr>
          <w:iCs/>
        </w:rPr>
        <w:t>00.000 kn</w:t>
      </w:r>
      <w:r>
        <w:rPr>
          <w:iCs/>
        </w:rPr>
        <w:t xml:space="preserve"> koje je Grad Osijek osigurao z</w:t>
      </w:r>
      <w:r w:rsidR="00C163A6" w:rsidRPr="006568BD">
        <w:rPr>
          <w:iCs/>
        </w:rPr>
        <w:t>a pokriće manjka pror</w:t>
      </w:r>
      <w:r w:rsidRPr="006568BD">
        <w:rPr>
          <w:iCs/>
        </w:rPr>
        <w:t>ačunskog</w:t>
      </w:r>
      <w:r w:rsidR="00C163A6" w:rsidRPr="006568BD">
        <w:rPr>
          <w:iCs/>
        </w:rPr>
        <w:t xml:space="preserve"> korisnika H</w:t>
      </w:r>
      <w:r w:rsidRPr="006568BD">
        <w:rPr>
          <w:iCs/>
        </w:rPr>
        <w:t>rvatsko narodno kazalište u Osijeku.</w:t>
      </w:r>
      <w:r w:rsidR="00C163A6" w:rsidRPr="006568BD">
        <w:rPr>
          <w:iCs/>
        </w:rPr>
        <w:t xml:space="preserve"> </w:t>
      </w:r>
    </w:p>
    <w:p w14:paraId="64FFC7A4" w14:textId="77777777" w:rsidR="006568BD" w:rsidRPr="006568BD" w:rsidRDefault="006568BD" w:rsidP="006568BD">
      <w:pPr>
        <w:jc w:val="both"/>
        <w:rPr>
          <w:rFonts w:ascii="Cambria" w:hAnsi="Cambria"/>
          <w:highlight w:val="yellow"/>
        </w:rPr>
      </w:pPr>
    </w:p>
    <w:p w14:paraId="439AC442" w14:textId="77777777" w:rsidR="00017C72" w:rsidRPr="00F66ED3" w:rsidRDefault="0059422A" w:rsidP="00017C72">
      <w:pPr>
        <w:ind w:firstLine="708"/>
        <w:jc w:val="both"/>
      </w:pPr>
      <w:r>
        <w:t>Usporedni p</w:t>
      </w:r>
      <w:r w:rsidR="00017C72" w:rsidRPr="006568BD">
        <w:t xml:space="preserve">regled izvršenih prijenosa proračunskim korisnicima </w:t>
      </w:r>
      <w:r w:rsidR="00017C72" w:rsidRPr="00F66ED3">
        <w:t xml:space="preserve">iz Proračuna Grada Osijeka </w:t>
      </w:r>
      <w:r>
        <w:t xml:space="preserve">u 2019. i 2020. </w:t>
      </w:r>
      <w:r w:rsidR="00017C72" w:rsidRPr="00F66ED3">
        <w:t>dan je u nastavku:</w:t>
      </w:r>
    </w:p>
    <w:p w14:paraId="2367DE1D" w14:textId="77777777" w:rsidR="00812DB5" w:rsidRPr="00DF0295" w:rsidRDefault="00812DB5" w:rsidP="00017C72">
      <w:pPr>
        <w:ind w:firstLine="708"/>
        <w:jc w:val="both"/>
        <w:rPr>
          <w:highlight w:val="yellow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254"/>
        <w:gridCol w:w="3184"/>
        <w:gridCol w:w="3180"/>
      </w:tblGrid>
      <w:tr w:rsidR="0059422A" w:rsidRPr="00F66ED3" w14:paraId="45DE8F48" w14:textId="77777777" w:rsidTr="0059422A">
        <w:trPr>
          <w:trHeight w:val="300"/>
        </w:trPr>
        <w:tc>
          <w:tcPr>
            <w:tcW w:w="16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B29C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590EDBB" w14:textId="77777777" w:rsidR="0059422A" w:rsidRPr="00F66ED3" w:rsidRDefault="0059422A" w:rsidP="000D72D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6ED3">
              <w:rPr>
                <w:rFonts w:ascii="Calibri" w:hAnsi="Calibri"/>
                <w:b/>
                <w:bCs/>
                <w:sz w:val="22"/>
                <w:szCs w:val="22"/>
              </w:rPr>
              <w:t>Ukupno 31.12.2019.</w:t>
            </w: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3FCD75A" w14:textId="77777777" w:rsidR="0059422A" w:rsidRPr="000F2024" w:rsidRDefault="0059422A" w:rsidP="000D72D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F2024">
              <w:rPr>
                <w:rFonts w:ascii="Calibri" w:hAnsi="Calibri"/>
                <w:b/>
                <w:color w:val="000000"/>
                <w:sz w:val="22"/>
                <w:szCs w:val="22"/>
              </w:rPr>
              <w:t>Ukupno 31.12.2020.</w:t>
            </w:r>
          </w:p>
        </w:tc>
      </w:tr>
      <w:tr w:rsidR="0059422A" w:rsidRPr="00F66ED3" w14:paraId="3FAB1C09" w14:textId="77777777" w:rsidTr="0059422A">
        <w:trPr>
          <w:trHeight w:val="300"/>
        </w:trPr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931A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AUGUST ŠENOA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70D08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819.307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BDBC7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906.231</w:t>
            </w:r>
          </w:p>
        </w:tc>
      </w:tr>
      <w:tr w:rsidR="0059422A" w:rsidRPr="00F66ED3" w14:paraId="666D2152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F6EB2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66BF2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1.014.405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7EF1D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1.188.209</w:t>
            </w:r>
          </w:p>
        </w:tc>
      </w:tr>
      <w:tr w:rsidR="0059422A" w:rsidRPr="00F66ED3" w14:paraId="20D91EB6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3550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LJUDEVIT GAJ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DEE77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1.733.904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2321B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1.647.672</w:t>
            </w:r>
          </w:p>
        </w:tc>
      </w:tr>
      <w:tr w:rsidR="0059422A" w:rsidRPr="00F66ED3" w14:paraId="52DEF863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BEAFB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2883B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1.011.951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13299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1.083.715</w:t>
            </w:r>
          </w:p>
        </w:tc>
      </w:tr>
      <w:tr w:rsidR="0059422A" w:rsidRPr="00F66ED3" w14:paraId="6768192F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BE1E1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FRANKOPAN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54E81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1.227.068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17591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1.384.732</w:t>
            </w:r>
          </w:p>
        </w:tc>
      </w:tr>
      <w:tr w:rsidR="0059422A" w:rsidRPr="00F66ED3" w14:paraId="043F348C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B144A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GRADSKE GALERIJE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662A29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737.062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C211D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769.999</w:t>
            </w:r>
          </w:p>
        </w:tc>
      </w:tr>
      <w:tr w:rsidR="0059422A" w:rsidRPr="00F66ED3" w14:paraId="6953A888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F9EA1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529B4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36.621.691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DC678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43.890.013</w:t>
            </w:r>
          </w:p>
        </w:tc>
      </w:tr>
      <w:tr w:rsidR="0059422A" w:rsidRPr="00F66ED3" w14:paraId="132A7FDA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5596C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47347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1.055.811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74BF9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1.240.725</w:t>
            </w:r>
          </w:p>
        </w:tc>
      </w:tr>
      <w:tr w:rsidR="0059422A" w:rsidRPr="00F66ED3" w14:paraId="10EF13D1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935A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BECIĆ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CD6A2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784.634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2F71F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879.888</w:t>
            </w:r>
          </w:p>
        </w:tc>
      </w:tr>
      <w:tr w:rsidR="0059422A" w:rsidRPr="00F66ED3" w14:paraId="39354E71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EB34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FF28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566.261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7967F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627.648</w:t>
            </w:r>
          </w:p>
        </w:tc>
      </w:tr>
      <w:tr w:rsidR="0059422A" w:rsidRPr="00F66ED3" w14:paraId="2BC06375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29C1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DJEČJE KAZALIŠTE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1AFBF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5.040.325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01C08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4.696.448</w:t>
            </w:r>
          </w:p>
        </w:tc>
      </w:tr>
      <w:tr w:rsidR="0059422A" w:rsidRPr="00F66ED3" w14:paraId="53E35429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43F6C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1C363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947.625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18CCC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1.225.808</w:t>
            </w:r>
          </w:p>
        </w:tc>
      </w:tr>
      <w:tr w:rsidR="0059422A" w:rsidRPr="00F66ED3" w14:paraId="071DF23C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91DE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TRUHELKA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8DDD9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964.939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38C65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1.161.077</w:t>
            </w:r>
          </w:p>
        </w:tc>
      </w:tr>
      <w:tr w:rsidR="0059422A" w:rsidRPr="00F66ED3" w14:paraId="68515D5E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9EB9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FD826" w14:textId="77777777" w:rsidR="0059422A" w:rsidRPr="00760C0C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60C0C">
              <w:rPr>
                <w:rFonts w:ascii="Calibri" w:hAnsi="Calibri"/>
                <w:sz w:val="22"/>
                <w:szCs w:val="22"/>
              </w:rPr>
              <w:t>562.987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42BCF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685.365</w:t>
            </w:r>
          </w:p>
        </w:tc>
      </w:tr>
      <w:tr w:rsidR="0059422A" w:rsidRPr="00F66ED3" w14:paraId="00E36DFC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CFB2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78C65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992.363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1E964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1.045.438</w:t>
            </w:r>
          </w:p>
        </w:tc>
      </w:tr>
      <w:tr w:rsidR="0059422A" w:rsidRPr="00F66ED3" w14:paraId="569F54F8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090E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B33E1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910.653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22341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1.114.020</w:t>
            </w:r>
          </w:p>
        </w:tc>
      </w:tr>
      <w:tr w:rsidR="0059422A" w:rsidRPr="00F66ED3" w14:paraId="1A1D3882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B9E90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EC671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864.799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FA582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1.020.644</w:t>
            </w:r>
          </w:p>
        </w:tc>
      </w:tr>
      <w:tr w:rsidR="0059422A" w:rsidRPr="00F66ED3" w14:paraId="6C5313C9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8341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13F04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1.250.184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B2D3B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1.289.773</w:t>
            </w:r>
          </w:p>
        </w:tc>
      </w:tr>
      <w:tr w:rsidR="0059422A" w:rsidRPr="00F66ED3" w14:paraId="33ABBE28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00D4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CESARIĆ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B93C3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903.780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09C60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886.974</w:t>
            </w:r>
          </w:p>
        </w:tc>
      </w:tr>
      <w:tr w:rsidR="0059422A" w:rsidRPr="00F66ED3" w14:paraId="5FD11382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CF9C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OŠ MIHANOVIĆ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B6DA9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1.144.111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ACC01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1.252.143</w:t>
            </w:r>
          </w:p>
        </w:tc>
      </w:tr>
      <w:tr w:rsidR="0059422A" w:rsidRPr="00F66ED3" w14:paraId="7C068A37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5790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FILIPOVIĆ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A1A64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824.962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3112B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1.037.923</w:t>
            </w:r>
          </w:p>
        </w:tc>
      </w:tr>
      <w:tr w:rsidR="0059422A" w:rsidRPr="00F66ED3" w14:paraId="6701ED60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59E4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ŠTARK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247AF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2.084.155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4E5D5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1.995.285</w:t>
            </w:r>
          </w:p>
        </w:tc>
      </w:tr>
      <w:tr w:rsidR="0059422A" w:rsidRPr="00F66ED3" w14:paraId="17DB94E1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C6347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PKC MAĐARA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967BF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846.927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DD2C4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880.886</w:t>
            </w:r>
          </w:p>
        </w:tc>
      </w:tr>
      <w:tr w:rsidR="0059422A" w:rsidRPr="00F66ED3" w14:paraId="07F841B5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B2FF6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HNK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BE15C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13.932.320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15CF7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14.101.800</w:t>
            </w:r>
          </w:p>
        </w:tc>
      </w:tr>
      <w:tr w:rsidR="0059422A" w:rsidRPr="00F66ED3" w14:paraId="7AE9C725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D654A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JPVP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3ABFC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15.472.701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9D62A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16.219.201</w:t>
            </w:r>
          </w:p>
        </w:tc>
      </w:tr>
      <w:tr w:rsidR="0059422A" w:rsidRPr="00F66ED3" w14:paraId="2135423C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9D7FD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0075C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648.000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73768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854.000</w:t>
            </w:r>
          </w:p>
        </w:tc>
      </w:tr>
      <w:tr w:rsidR="0059422A" w:rsidRPr="00F66ED3" w14:paraId="70C95DDF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CD25" w14:textId="77777777" w:rsidR="0059422A" w:rsidRDefault="005942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CBF26" w14:textId="77777777" w:rsidR="0059422A" w:rsidRPr="00F66ED3" w:rsidRDefault="0059422A" w:rsidP="000D72D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66ED3">
              <w:rPr>
                <w:rFonts w:ascii="Calibri" w:hAnsi="Calibri"/>
                <w:sz w:val="22"/>
                <w:szCs w:val="22"/>
              </w:rPr>
              <w:t>169.094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DE791" w14:textId="77777777" w:rsidR="0059422A" w:rsidRDefault="0059422A" w:rsidP="000D72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977.365</w:t>
            </w:r>
          </w:p>
        </w:tc>
      </w:tr>
      <w:tr w:rsidR="0059422A" w:rsidRPr="00F66ED3" w14:paraId="27D3129F" w14:textId="77777777" w:rsidTr="0059422A">
        <w:trPr>
          <w:trHeight w:val="300"/>
        </w:trPr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316B0" w14:textId="77777777" w:rsidR="0059422A" w:rsidRDefault="005942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A66AE" w14:textId="77777777" w:rsidR="0059422A" w:rsidRPr="00F66ED3" w:rsidRDefault="0059422A" w:rsidP="000D7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93.132.016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20E14" w14:textId="77777777" w:rsidR="0059422A" w:rsidRDefault="0059422A" w:rsidP="000D72D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104.062.981</w:t>
            </w:r>
          </w:p>
        </w:tc>
      </w:tr>
    </w:tbl>
    <w:p w14:paraId="677E3341" w14:textId="77777777" w:rsidR="00812DB5" w:rsidRPr="00DF0295" w:rsidRDefault="00812DB5" w:rsidP="0066385E">
      <w:pPr>
        <w:jc w:val="both"/>
        <w:rPr>
          <w:highlight w:val="yellow"/>
        </w:rPr>
      </w:pPr>
    </w:p>
    <w:p w14:paraId="6F81281E" w14:textId="77777777" w:rsidR="00017C72" w:rsidRPr="003A6C33" w:rsidRDefault="00017C72" w:rsidP="00017C72">
      <w:pPr>
        <w:ind w:firstLine="708"/>
        <w:jc w:val="both"/>
        <w:rPr>
          <w:iCs/>
        </w:rPr>
      </w:pPr>
      <w:r w:rsidRPr="003A6C33">
        <w:t>Navedena proračunska sredstva</w:t>
      </w:r>
      <w:r w:rsidR="000D72D1">
        <w:t xml:space="preserve"> u 2020.</w:t>
      </w:r>
      <w:r w:rsidRPr="003A6C33">
        <w:t xml:space="preserve"> utrošena su za sljedeće rashode iskazane po ekonomskoj klasifikaciji:</w:t>
      </w:r>
    </w:p>
    <w:p w14:paraId="48ECE921" w14:textId="77777777" w:rsidR="00017C72" w:rsidRPr="00DF0295" w:rsidRDefault="00017C72" w:rsidP="00017C72">
      <w:pPr>
        <w:ind w:firstLine="708"/>
        <w:jc w:val="both"/>
        <w:rPr>
          <w:iCs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97"/>
        <w:gridCol w:w="3223"/>
      </w:tblGrid>
      <w:tr w:rsidR="00CE2662" w:rsidRPr="00DF0295" w14:paraId="49D1C7E4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75EC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DE5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76.767.312</w:t>
            </w:r>
          </w:p>
        </w:tc>
      </w:tr>
      <w:tr w:rsidR="00CE2662" w:rsidRPr="00DF0295" w14:paraId="4139DEE9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D88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ECDE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23.592.378</w:t>
            </w:r>
          </w:p>
        </w:tc>
      </w:tr>
      <w:tr w:rsidR="00CE2662" w:rsidRPr="00DF0295" w14:paraId="029DA402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773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C992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220.667</w:t>
            </w:r>
          </w:p>
        </w:tc>
      </w:tr>
      <w:tr w:rsidR="00CE2662" w:rsidRPr="00DF0295" w14:paraId="08B84E92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9C84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7236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67.414</w:t>
            </w:r>
          </w:p>
        </w:tc>
      </w:tr>
      <w:tr w:rsidR="00CE2662" w:rsidRPr="00DF0295" w14:paraId="2F638A03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F6C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978B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2.322.190</w:t>
            </w:r>
          </w:p>
        </w:tc>
      </w:tr>
      <w:tr w:rsidR="00CE2662" w:rsidRPr="00DF0295" w14:paraId="5DFAEC1A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58C1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986B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63.520</w:t>
            </w:r>
          </w:p>
        </w:tc>
      </w:tr>
      <w:tr w:rsidR="00CE2662" w:rsidRPr="00DF0295" w14:paraId="618A131B" w14:textId="77777777" w:rsidTr="006568BD">
        <w:trPr>
          <w:trHeight w:val="300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9A3A" w14:textId="77777777" w:rsidR="00CE2662" w:rsidRDefault="00CE2662" w:rsidP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9BC8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29.500</w:t>
            </w:r>
          </w:p>
        </w:tc>
      </w:tr>
      <w:tr w:rsidR="00CE2662" w:rsidRPr="00DF0295" w14:paraId="3E7BF426" w14:textId="77777777" w:rsidTr="006568BD">
        <w:trPr>
          <w:trHeight w:val="315"/>
        </w:trPr>
        <w:tc>
          <w:tcPr>
            <w:tcW w:w="332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BEFA5" w14:textId="77777777" w:rsidR="00CE2662" w:rsidRDefault="00CE26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3195" w14:textId="77777777" w:rsidR="00CE2662" w:rsidRDefault="00CE266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103.062.981</w:t>
            </w:r>
          </w:p>
        </w:tc>
      </w:tr>
      <w:tr w:rsidR="00CE2662" w:rsidRPr="00DF0295" w14:paraId="38F25FFE" w14:textId="77777777" w:rsidTr="006568BD">
        <w:trPr>
          <w:trHeight w:val="315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3989" w14:textId="77777777" w:rsidR="00CE2662" w:rsidRDefault="00CE26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pokriće manjka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0D8B" w14:textId="77777777" w:rsidR="00CE2662" w:rsidRDefault="00CE26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1.000.000</w:t>
            </w:r>
          </w:p>
        </w:tc>
      </w:tr>
      <w:tr w:rsidR="00CE2662" w:rsidRPr="00DF0295" w14:paraId="444FBC69" w14:textId="77777777" w:rsidTr="006568BD">
        <w:trPr>
          <w:trHeight w:val="315"/>
        </w:trPr>
        <w:tc>
          <w:tcPr>
            <w:tcW w:w="332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6C97" w14:textId="77777777" w:rsidR="00CE2662" w:rsidRDefault="00CE266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 s pokrićem manjka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7A41E" w14:textId="77777777" w:rsidR="00CE2662" w:rsidRDefault="00CE266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104.062.981</w:t>
            </w:r>
          </w:p>
        </w:tc>
      </w:tr>
    </w:tbl>
    <w:p w14:paraId="41FBD3BF" w14:textId="77777777" w:rsidR="00017C72" w:rsidRPr="00DF0295" w:rsidRDefault="00017C72" w:rsidP="00017C72">
      <w:pPr>
        <w:ind w:firstLine="708"/>
        <w:jc w:val="both"/>
        <w:rPr>
          <w:iCs/>
          <w:highlight w:val="yellow"/>
        </w:rPr>
      </w:pPr>
    </w:p>
    <w:p w14:paraId="74F72ACA" w14:textId="77777777" w:rsidR="00ED27B0" w:rsidRDefault="00ED27B0" w:rsidP="00ED27B0">
      <w:pPr>
        <w:ind w:firstLine="708"/>
        <w:jc w:val="both"/>
        <w:rPr>
          <w:iCs/>
        </w:rPr>
      </w:pPr>
      <w:r w:rsidRPr="006568BD">
        <w:rPr>
          <w:iCs/>
        </w:rPr>
        <w:t xml:space="preserve">U procesu konsolidacije eliminiraju se prihodi iskazani u okviru konta </w:t>
      </w:r>
      <w:r>
        <w:rPr>
          <w:iCs/>
        </w:rPr>
        <w:t>639</w:t>
      </w:r>
      <w:r w:rsidRPr="006568BD">
        <w:rPr>
          <w:iCs/>
        </w:rPr>
        <w:t xml:space="preserve"> (AOP </w:t>
      </w:r>
      <w:r>
        <w:rPr>
          <w:iCs/>
        </w:rPr>
        <w:t>069</w:t>
      </w:r>
      <w:r w:rsidRPr="006568BD">
        <w:rPr>
          <w:iCs/>
        </w:rPr>
        <w:t>) i rashodi iskazani u okviru računa 36</w:t>
      </w:r>
      <w:r>
        <w:rPr>
          <w:iCs/>
        </w:rPr>
        <w:t>9</w:t>
      </w:r>
      <w:r w:rsidRPr="006568BD">
        <w:rPr>
          <w:iCs/>
        </w:rPr>
        <w:t xml:space="preserve"> (AOP 2</w:t>
      </w:r>
      <w:r>
        <w:rPr>
          <w:iCs/>
        </w:rPr>
        <w:t>41</w:t>
      </w:r>
      <w:r w:rsidRPr="006568BD">
        <w:rPr>
          <w:iCs/>
        </w:rPr>
        <w:t xml:space="preserve">), ukupno </w:t>
      </w:r>
      <w:r>
        <w:rPr>
          <w:iCs/>
        </w:rPr>
        <w:t>25.074 kn. Grad Osijek u okviru ovih rashoda izvršio je prijenose sljedećim proračunskim korisnicima:</w:t>
      </w:r>
    </w:p>
    <w:p w14:paraId="49317082" w14:textId="77777777" w:rsidR="00ED27B0" w:rsidRDefault="00ED27B0" w:rsidP="00ED27B0">
      <w:pPr>
        <w:ind w:firstLine="708"/>
        <w:jc w:val="both"/>
        <w:rPr>
          <w:iCs/>
        </w:rPr>
      </w:pPr>
      <w:r>
        <w:rPr>
          <w:iCs/>
        </w:rPr>
        <w:t>OŠ Tin Ujević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9.877 kn</w:t>
      </w:r>
    </w:p>
    <w:p w14:paraId="08B5FF13" w14:textId="77777777" w:rsidR="00ED27B0" w:rsidRDefault="00ED27B0" w:rsidP="00ED27B0">
      <w:pPr>
        <w:ind w:firstLine="708"/>
        <w:jc w:val="both"/>
        <w:rPr>
          <w:iCs/>
        </w:rPr>
      </w:pPr>
      <w:r>
        <w:rPr>
          <w:iCs/>
        </w:rPr>
        <w:t>OŠ Tenja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6.151 kn</w:t>
      </w:r>
    </w:p>
    <w:p w14:paraId="49073932" w14:textId="77777777" w:rsidR="00ED27B0" w:rsidRDefault="00ED27B0" w:rsidP="00ED27B0">
      <w:pPr>
        <w:ind w:firstLine="708"/>
        <w:jc w:val="both"/>
        <w:rPr>
          <w:iCs/>
        </w:rPr>
      </w:pPr>
      <w:r>
        <w:rPr>
          <w:iCs/>
        </w:rPr>
        <w:t>OŠ Jagode Truhelke</w:t>
      </w:r>
      <w:r>
        <w:rPr>
          <w:iCs/>
        </w:rPr>
        <w:tab/>
      </w:r>
      <w:r>
        <w:rPr>
          <w:iCs/>
        </w:rPr>
        <w:tab/>
        <w:t>3.706 kn</w:t>
      </w:r>
    </w:p>
    <w:p w14:paraId="3529FCF8" w14:textId="77777777" w:rsidR="00ED27B0" w:rsidRDefault="00ED27B0" w:rsidP="00ED27B0">
      <w:pPr>
        <w:ind w:firstLine="708"/>
        <w:jc w:val="both"/>
        <w:rPr>
          <w:iCs/>
        </w:rPr>
      </w:pPr>
      <w:r>
        <w:rPr>
          <w:iCs/>
        </w:rPr>
        <w:t>HNK u Osijeku</w:t>
      </w:r>
      <w:r>
        <w:rPr>
          <w:iCs/>
        </w:rPr>
        <w:tab/>
      </w:r>
      <w:r>
        <w:rPr>
          <w:iCs/>
        </w:rPr>
        <w:tab/>
        <w:t>5.000 kn</w:t>
      </w:r>
    </w:p>
    <w:p w14:paraId="26DA8CB6" w14:textId="77777777" w:rsidR="00ED27B0" w:rsidRDefault="00ED27B0" w:rsidP="00ED27B0">
      <w:pPr>
        <w:ind w:firstLine="708"/>
        <w:jc w:val="both"/>
        <w:rPr>
          <w:iCs/>
        </w:rPr>
      </w:pPr>
      <w:r>
        <w:rPr>
          <w:iCs/>
        </w:rPr>
        <w:t>340 kn vezano je za prijenose između proračunskih korisnika i to OŠ Mladost prema OŠ F.K.Frankopan i OŠ Ivana Filipovića.</w:t>
      </w:r>
      <w:r>
        <w:rPr>
          <w:iCs/>
        </w:rPr>
        <w:tab/>
      </w:r>
    </w:p>
    <w:p w14:paraId="2954FB0F" w14:textId="77777777" w:rsidR="00017C72" w:rsidRPr="00DF0295" w:rsidRDefault="00017C72" w:rsidP="00017C72">
      <w:pPr>
        <w:ind w:firstLine="708"/>
        <w:jc w:val="both"/>
        <w:rPr>
          <w:iCs/>
          <w:highlight w:val="yellow"/>
        </w:rPr>
      </w:pPr>
    </w:p>
    <w:p w14:paraId="3C30393A" w14:textId="77777777" w:rsidR="00017C72" w:rsidRPr="005B4230" w:rsidRDefault="00017C72" w:rsidP="00017C72">
      <w:pPr>
        <w:ind w:firstLine="708"/>
        <w:jc w:val="both"/>
      </w:pPr>
      <w:r w:rsidRPr="005B4230">
        <w:rPr>
          <w:iCs/>
        </w:rPr>
        <w:t xml:space="preserve">Decentralizacijom funkcije osnovnog školstva Grad Osijek, kao jedinica lokalne samouprave, preuzeo je obvezu financiranja osnovnih škola na svom teritorijalnom području i to u dijelu materijalnih i ostalih troškova, troškova tekućeg i investicijskog održavanja i kapitalnih izdataka. </w:t>
      </w:r>
      <w:r w:rsidRPr="005B4230">
        <w:t>Jedan dio doznačenih pomoći za decentralizirane funkcije prenamijenjen je iz tekućih rashoda u rashode za nabavu nefinancijske imovine osnovnih škola.</w:t>
      </w:r>
    </w:p>
    <w:p w14:paraId="21104A8D" w14:textId="77777777" w:rsidR="00017C72" w:rsidRPr="00DF0295" w:rsidRDefault="00017C72" w:rsidP="00017C72">
      <w:pPr>
        <w:ind w:firstLine="708"/>
        <w:jc w:val="both"/>
        <w:rPr>
          <w:iCs/>
          <w:highlight w:val="yellow"/>
        </w:rPr>
      </w:pPr>
    </w:p>
    <w:p w14:paraId="0908CCF5" w14:textId="77777777" w:rsidR="00017C72" w:rsidRPr="000E1B3E" w:rsidRDefault="00017C72" w:rsidP="00017C72">
      <w:pPr>
        <w:ind w:firstLine="708"/>
        <w:jc w:val="both"/>
        <w:rPr>
          <w:iCs/>
        </w:rPr>
      </w:pPr>
      <w:r w:rsidRPr="000E1B3E">
        <w:rPr>
          <w:iCs/>
        </w:rPr>
        <w:t xml:space="preserve">Iz općih prihoda proračuna školama su doznačena sredstva kojima su financirani rashodi programa produženog boravka u osnovnim školama, pomoćnici za djecu s ADHD poremećajem i posebne aktivnosti mladih, dok je iz sredstava pomoći za EU projekte financiran nastavak projekta Pomoćnici u nastavi za djecu s poteškoćama u učenju kao i projekt Škole jednakih </w:t>
      </w:r>
      <w:r w:rsidRPr="000E1B3E">
        <w:rPr>
          <w:iCs/>
        </w:rPr>
        <w:lastRenderedPageBreak/>
        <w:t>mogućnosti. Istim su, uz sredstva koja Grad Osijek osigurava već godinama iz općih prihoda,  osigurana i dodatna sredstva za financiranje  obroka u osnovnim školama za sve učenike slabijeg imovinskog stanja s područja Grada Osijeka.</w:t>
      </w:r>
    </w:p>
    <w:p w14:paraId="31AB7C4A" w14:textId="77777777" w:rsidR="00017C72" w:rsidRPr="00DF0295" w:rsidRDefault="00017C72" w:rsidP="00017C72">
      <w:pPr>
        <w:jc w:val="both"/>
        <w:rPr>
          <w:iCs/>
          <w:highlight w:val="yellow"/>
        </w:rPr>
      </w:pPr>
    </w:p>
    <w:p w14:paraId="1ACBFFF2" w14:textId="77777777" w:rsidR="00C75CB8" w:rsidRDefault="00CD6EC4" w:rsidP="003E373E">
      <w:pPr>
        <w:jc w:val="both"/>
        <w:rPr>
          <w:iCs/>
        </w:rPr>
      </w:pPr>
      <w:r w:rsidRPr="00C75CB8">
        <w:rPr>
          <w:b/>
          <w:iCs/>
        </w:rPr>
        <w:t>AOP 149</w:t>
      </w:r>
      <w:r w:rsidR="003E373E">
        <w:rPr>
          <w:iCs/>
        </w:rPr>
        <w:t xml:space="preserve"> </w:t>
      </w:r>
      <w:r w:rsidR="003E373E">
        <w:rPr>
          <w:iCs/>
        </w:rPr>
        <w:tab/>
      </w:r>
      <w:r w:rsidR="00C75CB8">
        <w:rPr>
          <w:iCs/>
        </w:rPr>
        <w:t xml:space="preserve">Rashodi za zaposlene povećani su za </w:t>
      </w:r>
      <w:r w:rsidR="00CC78D9">
        <w:rPr>
          <w:iCs/>
        </w:rPr>
        <w:t>1</w:t>
      </w:r>
      <w:r w:rsidR="00A01874">
        <w:rPr>
          <w:iCs/>
        </w:rPr>
        <w:t>5</w:t>
      </w:r>
      <w:r w:rsidR="00CC78D9">
        <w:rPr>
          <w:iCs/>
        </w:rPr>
        <w:t>.</w:t>
      </w:r>
      <w:r w:rsidR="00A01874">
        <w:rPr>
          <w:iCs/>
        </w:rPr>
        <w:t>278</w:t>
      </w:r>
      <w:r w:rsidR="00CC78D9">
        <w:rPr>
          <w:iCs/>
        </w:rPr>
        <w:t>.</w:t>
      </w:r>
      <w:r w:rsidR="00A01874">
        <w:rPr>
          <w:iCs/>
        </w:rPr>
        <w:t>179</w:t>
      </w:r>
      <w:r w:rsidR="00CC78D9">
        <w:rPr>
          <w:iCs/>
        </w:rPr>
        <w:t xml:space="preserve"> kn. Najvećim se dijelom povećanje odnosi na Dječji vrtić Osijek gdje je zabilježen rast u iznosu od </w:t>
      </w:r>
      <w:r w:rsidR="00EE5AFF">
        <w:rPr>
          <w:iCs/>
        </w:rPr>
        <w:t>6</w:t>
      </w:r>
      <w:r w:rsidR="00CC78D9">
        <w:rPr>
          <w:iCs/>
        </w:rPr>
        <w:t>.</w:t>
      </w:r>
      <w:r w:rsidR="00EE5AFF">
        <w:rPr>
          <w:iCs/>
        </w:rPr>
        <w:t>127</w:t>
      </w:r>
      <w:r w:rsidR="00CC78D9">
        <w:rPr>
          <w:iCs/>
        </w:rPr>
        <w:t>.</w:t>
      </w:r>
      <w:r w:rsidR="00EE5AFF">
        <w:rPr>
          <w:iCs/>
        </w:rPr>
        <w:t>700</w:t>
      </w:r>
      <w:r w:rsidR="00CC78D9">
        <w:rPr>
          <w:iCs/>
        </w:rPr>
        <w:t xml:space="preserve"> kn u odnosu </w:t>
      </w:r>
      <w:r w:rsidR="00CC78D9" w:rsidRPr="00414D71">
        <w:rPr>
          <w:iCs/>
        </w:rPr>
        <w:t>na 201</w:t>
      </w:r>
      <w:r w:rsidR="00EE5AFF" w:rsidRPr="00414D71">
        <w:rPr>
          <w:iCs/>
        </w:rPr>
        <w:t>9</w:t>
      </w:r>
      <w:r w:rsidR="00CC78D9" w:rsidRPr="00414D71">
        <w:rPr>
          <w:iCs/>
        </w:rPr>
        <w:t>.</w:t>
      </w:r>
      <w:r w:rsidR="00414D71" w:rsidRPr="00414D71">
        <w:rPr>
          <w:iCs/>
        </w:rPr>
        <w:t xml:space="preserve"> </w:t>
      </w:r>
      <w:r w:rsidR="00414D71" w:rsidRPr="00414D71">
        <w:t>zbog  povećanja koeficijenta  plaće za 6,5% prema Kolektivnom ugovoru i povećanju osnovice plaće prema Odluci Vlade RH iz 2019. godine u iznosu od 2%,</w:t>
      </w:r>
      <w:r w:rsidR="00EE5AFF" w:rsidRPr="00414D71">
        <w:rPr>
          <w:iCs/>
        </w:rPr>
        <w:t xml:space="preserve"> JPVP Grada Osijeka 986.122 kn</w:t>
      </w:r>
      <w:r w:rsidR="00CC78D9" w:rsidRPr="00414D71">
        <w:rPr>
          <w:iCs/>
        </w:rPr>
        <w:t xml:space="preserve"> te 20 osnovnih škola (</w:t>
      </w:r>
      <w:r w:rsidR="00EE5AFF" w:rsidRPr="00414D71">
        <w:rPr>
          <w:iCs/>
        </w:rPr>
        <w:t xml:space="preserve">redovne plaće, </w:t>
      </w:r>
      <w:r w:rsidR="00CC78D9" w:rsidRPr="00414D71">
        <w:rPr>
          <w:iCs/>
        </w:rPr>
        <w:t>projekt „Osigurajmo im jednakost“, projekt</w:t>
      </w:r>
      <w:r w:rsidR="00CC78D9">
        <w:rPr>
          <w:iCs/>
        </w:rPr>
        <w:t xml:space="preserve"> „ADHD“, plaće za produženi boravak). </w:t>
      </w:r>
      <w:r w:rsidR="00EE5AFF">
        <w:rPr>
          <w:iCs/>
        </w:rPr>
        <w:t>Smanjenje ovih rashoda vidljivo je kod Grada Osijeka.</w:t>
      </w:r>
    </w:p>
    <w:p w14:paraId="1F26B152" w14:textId="77777777" w:rsidR="00C13249" w:rsidRDefault="00C13249" w:rsidP="00957110">
      <w:pPr>
        <w:jc w:val="both"/>
        <w:rPr>
          <w:iCs/>
          <w:highlight w:val="yellow"/>
        </w:rPr>
      </w:pPr>
    </w:p>
    <w:p w14:paraId="2A6D586E" w14:textId="77777777" w:rsidR="00957110" w:rsidRDefault="00957110" w:rsidP="003E373E">
      <w:pPr>
        <w:jc w:val="both"/>
        <w:rPr>
          <w:iCs/>
        </w:rPr>
      </w:pPr>
      <w:r w:rsidRPr="00957110">
        <w:rPr>
          <w:b/>
          <w:iCs/>
        </w:rPr>
        <w:t>AOP 160</w:t>
      </w:r>
      <w:r w:rsidR="003E373E">
        <w:rPr>
          <w:b/>
          <w:iCs/>
        </w:rPr>
        <w:t xml:space="preserve"> </w:t>
      </w:r>
      <w:r w:rsidR="003E373E">
        <w:rPr>
          <w:b/>
          <w:iCs/>
        </w:rPr>
        <w:tab/>
      </w:r>
      <w:r w:rsidRPr="00957110">
        <w:rPr>
          <w:iCs/>
        </w:rPr>
        <w:t>M</w:t>
      </w:r>
      <w:r>
        <w:rPr>
          <w:iCs/>
        </w:rPr>
        <w:t>aterijalni rashod</w:t>
      </w:r>
      <w:r w:rsidR="005559A7">
        <w:rPr>
          <w:iCs/>
        </w:rPr>
        <w:t xml:space="preserve">i </w:t>
      </w:r>
      <w:r w:rsidR="001F00D6">
        <w:rPr>
          <w:iCs/>
        </w:rPr>
        <w:t>manji</w:t>
      </w:r>
      <w:r w:rsidR="005559A7">
        <w:rPr>
          <w:iCs/>
        </w:rPr>
        <w:t xml:space="preserve"> su za 1</w:t>
      </w:r>
      <w:r w:rsidR="001F00D6">
        <w:rPr>
          <w:iCs/>
        </w:rPr>
        <w:t>4</w:t>
      </w:r>
      <w:r w:rsidR="005559A7">
        <w:rPr>
          <w:iCs/>
        </w:rPr>
        <w:t>.</w:t>
      </w:r>
      <w:r w:rsidR="001F00D6">
        <w:rPr>
          <w:iCs/>
        </w:rPr>
        <w:t>048</w:t>
      </w:r>
      <w:r w:rsidR="005559A7">
        <w:rPr>
          <w:iCs/>
        </w:rPr>
        <w:t>.</w:t>
      </w:r>
      <w:r w:rsidR="001F00D6">
        <w:rPr>
          <w:iCs/>
        </w:rPr>
        <w:t>252</w:t>
      </w:r>
      <w:r w:rsidR="005559A7">
        <w:rPr>
          <w:iCs/>
        </w:rPr>
        <w:t xml:space="preserve"> kn od čega se </w:t>
      </w:r>
      <w:r w:rsidR="001F00D6">
        <w:rPr>
          <w:iCs/>
        </w:rPr>
        <w:t>na Grad Osijek</w:t>
      </w:r>
      <w:r w:rsidR="005559A7">
        <w:rPr>
          <w:iCs/>
        </w:rPr>
        <w:t xml:space="preserve"> odnosi </w:t>
      </w:r>
      <w:r w:rsidR="001F00D6">
        <w:rPr>
          <w:iCs/>
        </w:rPr>
        <w:t>iznos 5.954.498 kn a proračunske korisnike 8.093.754 kn. Najznačajnije smanjenje odnosi se na rashode za materijal i energiju te rashode za usluge. Uslijed pandemije virusa COVID-19, već</w:t>
      </w:r>
      <w:r w:rsidR="00A714C7">
        <w:rPr>
          <w:iCs/>
        </w:rPr>
        <w:t>i</w:t>
      </w:r>
      <w:r w:rsidR="001F00D6">
        <w:rPr>
          <w:iCs/>
        </w:rPr>
        <w:t xml:space="preserve">na proračunskih korisnika dio svojih poslova obavljala je online ili u smanjenom opsegu što je rezultiralo nižim troškovima režija i manjim obujmom </w:t>
      </w:r>
      <w:r w:rsidR="00A714C7">
        <w:rPr>
          <w:iCs/>
        </w:rPr>
        <w:t xml:space="preserve">izvršenih </w:t>
      </w:r>
      <w:r w:rsidR="001F00D6">
        <w:rPr>
          <w:iCs/>
        </w:rPr>
        <w:t xml:space="preserve">usluga. Primjerice, troškovi </w:t>
      </w:r>
      <w:r w:rsidR="00A714C7">
        <w:rPr>
          <w:iCs/>
        </w:rPr>
        <w:t>službenih putovanja manji su tri</w:t>
      </w:r>
      <w:r w:rsidR="001F00D6">
        <w:rPr>
          <w:iCs/>
        </w:rPr>
        <w:t xml:space="preserve"> puta u odnosu na prethodnu godinu (</w:t>
      </w:r>
      <w:r w:rsidR="00A714C7">
        <w:rPr>
          <w:iCs/>
        </w:rPr>
        <w:t xml:space="preserve">smanjenje </w:t>
      </w:r>
      <w:r w:rsidR="001F00D6">
        <w:rPr>
          <w:iCs/>
        </w:rPr>
        <w:t xml:space="preserve">1.430.494 kn). Troškovi materijala i sirovina (prehrana u vrtićima i školama) niži su za 2.113.868 kn, energije 1.682.257 kn, </w:t>
      </w:r>
      <w:r w:rsidR="00A714C7">
        <w:rPr>
          <w:iCs/>
        </w:rPr>
        <w:t>intelektualne</w:t>
      </w:r>
      <w:r w:rsidR="001F00D6">
        <w:rPr>
          <w:iCs/>
        </w:rPr>
        <w:t xml:space="preserve"> usluge</w:t>
      </w:r>
      <w:r w:rsidR="00A714C7">
        <w:rPr>
          <w:iCs/>
        </w:rPr>
        <w:t xml:space="preserve"> 1.878.879 kn. Značajna povećanja/smanjenja u okviru usluga tekućeg i investicijskog održavanja i komunalnih usluga odraz su tehničke izmjene iskazivanja  održavanja javnih</w:t>
      </w:r>
      <w:r w:rsidR="000062E1">
        <w:rPr>
          <w:iCs/>
        </w:rPr>
        <w:t xml:space="preserve"> zelenih</w:t>
      </w:r>
      <w:r w:rsidR="00A714C7">
        <w:rPr>
          <w:iCs/>
        </w:rPr>
        <w:t xml:space="preserve"> površina Grada Osijeka i usklađenja s računskim planom.</w:t>
      </w:r>
      <w:r w:rsidR="001F00D6">
        <w:rPr>
          <w:iCs/>
        </w:rPr>
        <w:t xml:space="preserve"> </w:t>
      </w:r>
    </w:p>
    <w:p w14:paraId="3FE62BEF" w14:textId="77777777" w:rsidR="00A714C7" w:rsidRDefault="00A714C7" w:rsidP="00CD791F">
      <w:pPr>
        <w:ind w:firstLine="708"/>
        <w:jc w:val="both"/>
        <w:rPr>
          <w:iCs/>
        </w:rPr>
      </w:pPr>
      <w:r>
        <w:rPr>
          <w:iCs/>
        </w:rPr>
        <w:t>Smanjenje rashoda vidljivo je i kod naknada osobama izvan radnog odnosa, troškova reprezentacije te ostalim nespomenutim rashodima poslovanja.</w:t>
      </w:r>
    </w:p>
    <w:p w14:paraId="7C303D99" w14:textId="77777777" w:rsidR="000062E1" w:rsidRDefault="000062E1" w:rsidP="000062E1">
      <w:pPr>
        <w:tabs>
          <w:tab w:val="left" w:pos="3424"/>
        </w:tabs>
        <w:jc w:val="both"/>
        <w:rPr>
          <w:b/>
        </w:rPr>
      </w:pPr>
    </w:p>
    <w:p w14:paraId="61B80540" w14:textId="77777777" w:rsidR="000062E1" w:rsidRPr="00272C6E" w:rsidRDefault="003E373E" w:rsidP="003E373E">
      <w:pPr>
        <w:jc w:val="both"/>
      </w:pPr>
      <w:r>
        <w:rPr>
          <w:b/>
        </w:rPr>
        <w:t xml:space="preserve">AOP 180 </w:t>
      </w:r>
      <w:r>
        <w:rPr>
          <w:b/>
        </w:rPr>
        <w:tab/>
      </w:r>
      <w:r w:rsidR="000062E1" w:rsidRPr="00272C6E">
        <w:t xml:space="preserve">Zdravstvene i veterinarske usluge iznose </w:t>
      </w:r>
      <w:r w:rsidR="000062E1">
        <w:t xml:space="preserve">6.891.516 kn od čega su rashodi Grada Osijeka </w:t>
      </w:r>
      <w:r w:rsidR="000062E1" w:rsidRPr="00272C6E">
        <w:t>6.240.483 kn</w:t>
      </w:r>
      <w:r w:rsidR="000062E1">
        <w:t xml:space="preserve">. Povećanje ovih rashoda u odnosu na 2019. je 636.325 kn. </w:t>
      </w:r>
      <w:r w:rsidR="000062E1" w:rsidRPr="00272C6E">
        <w:t>Porast je zabilježen zbog povećanog larvicidnog tretmana sa zemlje vezano uz suzbijanje najezde komaraca</w:t>
      </w:r>
    </w:p>
    <w:p w14:paraId="6BAE4D07" w14:textId="77777777" w:rsidR="000062E1" w:rsidRPr="00A2429E" w:rsidRDefault="000062E1" w:rsidP="000062E1">
      <w:pPr>
        <w:tabs>
          <w:tab w:val="left" w:pos="3424"/>
        </w:tabs>
        <w:jc w:val="both"/>
        <w:rPr>
          <w:highlight w:val="yellow"/>
        </w:rPr>
      </w:pPr>
    </w:p>
    <w:p w14:paraId="18CDEB26" w14:textId="77777777" w:rsidR="000062E1" w:rsidRPr="004462E3" w:rsidRDefault="000062E1" w:rsidP="000062E1">
      <w:pPr>
        <w:jc w:val="both"/>
      </w:pPr>
      <w:r w:rsidRPr="004462E3">
        <w:rPr>
          <w:b/>
        </w:rPr>
        <w:t>AOP 183</w:t>
      </w:r>
      <w:r w:rsidR="003E373E">
        <w:t xml:space="preserve"> </w:t>
      </w:r>
      <w:r w:rsidR="003E373E">
        <w:tab/>
      </w:r>
      <w:r w:rsidRPr="004462E3">
        <w:t>U 2019. godini vrijednosno najznačajniji rashodi u okviru ovoga AOP-a odnosili su se na čišćenje javnih površina Grada. U 2020. se vode unutar skupine 3232.</w:t>
      </w:r>
    </w:p>
    <w:p w14:paraId="2EC2CFF8" w14:textId="77777777" w:rsidR="000430C4" w:rsidRDefault="000430C4" w:rsidP="000430C4">
      <w:pPr>
        <w:jc w:val="both"/>
        <w:rPr>
          <w:b/>
        </w:rPr>
      </w:pPr>
      <w:r>
        <w:rPr>
          <w:b/>
        </w:rPr>
        <w:tab/>
      </w:r>
    </w:p>
    <w:p w14:paraId="02B13BA8" w14:textId="77777777" w:rsidR="000430C4" w:rsidRDefault="000430C4" w:rsidP="003E373E">
      <w:pPr>
        <w:jc w:val="both"/>
      </w:pPr>
      <w:r w:rsidRPr="002701E5">
        <w:rPr>
          <w:b/>
        </w:rPr>
        <w:t>AOP 190</w:t>
      </w:r>
      <w:r w:rsidR="003E373E">
        <w:t xml:space="preserve"> </w:t>
      </w:r>
      <w:r w:rsidR="003E373E">
        <w:tab/>
      </w:r>
      <w:r w:rsidRPr="002701E5">
        <w:t xml:space="preserve"> Povećanje ovog AOP-a u odnosu na 2019. godinu iznosi 4</w:t>
      </w:r>
      <w:r>
        <w:t>80</w:t>
      </w:r>
      <w:r w:rsidRPr="002701E5">
        <w:t>.</w:t>
      </w:r>
      <w:r>
        <w:t>765</w:t>
      </w:r>
      <w:r w:rsidRPr="002701E5">
        <w:t xml:space="preserve"> kn i najvećim se dijelom odnosi na plaćanje poticajne naknade za smanjenje k</w:t>
      </w:r>
      <w:r>
        <w:t>oličine miješanog otpada koja je za Grad Osijek u 2020. godini veća za 426.307 kn.</w:t>
      </w:r>
    </w:p>
    <w:p w14:paraId="644A5859" w14:textId="77777777" w:rsidR="000430C4" w:rsidRDefault="000430C4" w:rsidP="000430C4">
      <w:pPr>
        <w:tabs>
          <w:tab w:val="left" w:pos="3424"/>
        </w:tabs>
        <w:jc w:val="both"/>
      </w:pPr>
    </w:p>
    <w:p w14:paraId="132C30A5" w14:textId="77777777" w:rsidR="000430C4" w:rsidRDefault="000430C4" w:rsidP="000430C4">
      <w:pPr>
        <w:jc w:val="both"/>
      </w:pPr>
      <w:r w:rsidRPr="000E760A">
        <w:rPr>
          <w:b/>
        </w:rPr>
        <w:t>AOP 191</w:t>
      </w:r>
      <w:r w:rsidR="003E373E">
        <w:t xml:space="preserve"> </w:t>
      </w:r>
      <w:r w:rsidR="003E373E">
        <w:tab/>
      </w:r>
      <w:r>
        <w:t>Troškovi sudskih postupaka iznose 1.112.477 kn. Najveći udio u troškovima odnosi se na presudu u sporu s Televizijom Slavonije i Baranje u iznosu od 618.227 kn i Osijek-Koteksom d.d. u iznosu od 273.285,37 kn.</w:t>
      </w:r>
    </w:p>
    <w:p w14:paraId="2152DA0C" w14:textId="77777777" w:rsidR="000430C4" w:rsidRDefault="000430C4" w:rsidP="000430C4">
      <w:pPr>
        <w:tabs>
          <w:tab w:val="left" w:pos="3424"/>
        </w:tabs>
        <w:jc w:val="both"/>
      </w:pPr>
    </w:p>
    <w:p w14:paraId="0283C95E" w14:textId="77777777" w:rsidR="000430C4" w:rsidRPr="002701E5" w:rsidRDefault="000430C4" w:rsidP="000430C4">
      <w:pPr>
        <w:jc w:val="both"/>
      </w:pPr>
      <w:r w:rsidRPr="00E61556">
        <w:rPr>
          <w:b/>
        </w:rPr>
        <w:t>AOP 192</w:t>
      </w:r>
      <w:r w:rsidR="003E373E">
        <w:t xml:space="preserve"> </w:t>
      </w:r>
      <w:r w:rsidR="003E373E">
        <w:tab/>
      </w:r>
      <w:r>
        <w:t xml:space="preserve"> Ostali nespomenuti rashodi poslovanja manji su za 2.634.278 kn u odnosu na 2019. i iznose 1.363.672 kn. Smanjenje se najvećim dijelom odnosi na posebne gradske programe, manifestacije i pokroviteljstva koje zbog pandemije nisu održane.</w:t>
      </w:r>
    </w:p>
    <w:p w14:paraId="14D0C7CF" w14:textId="77777777" w:rsidR="000062E1" w:rsidRPr="002701E5" w:rsidRDefault="000062E1" w:rsidP="000062E1">
      <w:pPr>
        <w:tabs>
          <w:tab w:val="left" w:pos="3424"/>
        </w:tabs>
        <w:jc w:val="both"/>
      </w:pPr>
    </w:p>
    <w:p w14:paraId="288E0D92" w14:textId="77777777" w:rsidR="00CD791F" w:rsidRPr="00CD791F" w:rsidRDefault="00C34BE2" w:rsidP="003E373E">
      <w:pPr>
        <w:jc w:val="both"/>
      </w:pPr>
      <w:r w:rsidRPr="00CD791F">
        <w:rPr>
          <w:b/>
        </w:rPr>
        <w:t>AOP 193</w:t>
      </w:r>
      <w:r w:rsidR="003E373E">
        <w:t xml:space="preserve"> </w:t>
      </w:r>
      <w:r w:rsidR="003E373E">
        <w:tab/>
      </w:r>
      <w:r w:rsidR="00CD791F">
        <w:t>Financijski rashodi</w:t>
      </w:r>
      <w:r w:rsidR="00A714C7">
        <w:t xml:space="preserve"> veći su za 881.398 kn i</w:t>
      </w:r>
      <w:r w:rsidR="00CD791F">
        <w:t xml:space="preserve"> iznose 5.</w:t>
      </w:r>
      <w:r w:rsidR="00A714C7">
        <w:t>903</w:t>
      </w:r>
      <w:r w:rsidR="00CD791F">
        <w:t>.</w:t>
      </w:r>
      <w:r w:rsidR="00A714C7">
        <w:t>485</w:t>
      </w:r>
      <w:r w:rsidR="00CD791F">
        <w:t xml:space="preserve"> kn</w:t>
      </w:r>
      <w:r w:rsidR="00A714C7">
        <w:t>.</w:t>
      </w:r>
      <w:r w:rsidR="000062E1">
        <w:t xml:space="preserve"> </w:t>
      </w:r>
      <w:r w:rsidR="00A714C7">
        <w:t xml:space="preserve">Povećanje je vidljivo kod rashoda za kamate po kreditnim zaduženjima i iznosi </w:t>
      </w:r>
      <w:r w:rsidR="000062E1">
        <w:t xml:space="preserve">245.073 kn. Grad se u 2020. zadužio za kapitalne projekte i isto se, usprkos iznimno povoljnim kamatnim stopama, odrazilo </w:t>
      </w:r>
      <w:r w:rsidR="000062E1">
        <w:lastRenderedPageBreak/>
        <w:t xml:space="preserve">na </w:t>
      </w:r>
      <w:r w:rsidR="000430C4">
        <w:t xml:space="preserve">visinu </w:t>
      </w:r>
      <w:r w:rsidR="000062E1">
        <w:t>plaćen</w:t>
      </w:r>
      <w:r w:rsidR="000430C4">
        <w:t>ih</w:t>
      </w:r>
      <w:r w:rsidR="000062E1">
        <w:t xml:space="preserve"> kamat</w:t>
      </w:r>
      <w:r w:rsidR="000430C4">
        <w:t>a</w:t>
      </w:r>
      <w:r w:rsidR="000062E1">
        <w:t xml:space="preserve"> (interkalarne kamate).  Ostali nespomenuti financijski rashodi veći su za 636.325 kn. </w:t>
      </w:r>
      <w:r w:rsidR="000430C4">
        <w:t>Za Grad Osijek povećanje iznosi</w:t>
      </w:r>
      <w:r w:rsidR="000430C4" w:rsidRPr="00A328AB">
        <w:t xml:space="preserve"> 499.575 kn</w:t>
      </w:r>
      <w:r w:rsidR="000430C4">
        <w:t xml:space="preserve"> ili 25%</w:t>
      </w:r>
      <w:r w:rsidR="000430C4" w:rsidRPr="00A328AB">
        <w:t>.</w:t>
      </w:r>
      <w:r w:rsidR="000430C4">
        <w:t xml:space="preserve"> Dio povećanja odnosi se na povrat dijela komunalnog doprinosa iz ranijih godina u iznosu 249.556 kn ULO Hladnjači d.o.o. i knjiženje troška PDV-a po završetku sudskog postupka s tvrtkom Aqua Lotus d.o.o. u iznosu od 182.011 kn. Povećanje troškova u iznosu 136.750 kn vezano je za poslovanje proračunskih korisnika.</w:t>
      </w:r>
    </w:p>
    <w:p w14:paraId="6CAB5B73" w14:textId="77777777" w:rsidR="00336337" w:rsidRPr="00DF0295" w:rsidRDefault="00336337" w:rsidP="00CD791F">
      <w:pPr>
        <w:jc w:val="both"/>
        <w:rPr>
          <w:highlight w:val="yellow"/>
        </w:rPr>
      </w:pPr>
    </w:p>
    <w:p w14:paraId="04E03A93" w14:textId="77777777" w:rsidR="00291AE8" w:rsidRPr="00BE5EEB" w:rsidRDefault="00291AE8" w:rsidP="00291AE8">
      <w:pPr>
        <w:jc w:val="both"/>
      </w:pPr>
      <w:r w:rsidRPr="00BE5EEB">
        <w:rPr>
          <w:b/>
        </w:rPr>
        <w:t>AOP 212</w:t>
      </w:r>
      <w:r w:rsidR="003E373E">
        <w:t xml:space="preserve"> </w:t>
      </w:r>
      <w:r w:rsidR="003E373E">
        <w:tab/>
      </w:r>
      <w:r w:rsidRPr="00BE5EEB">
        <w:t>Subvencije u 2020. su veće za 15.974.587 kn</w:t>
      </w:r>
      <w:r>
        <w:t xml:space="preserve"> ili 29,9%</w:t>
      </w:r>
      <w:r w:rsidRPr="00BE5EEB">
        <w:t xml:space="preserve"> u odnosu na 2019. i iznose 69.425.617 kn. </w:t>
      </w:r>
      <w:r>
        <w:t xml:space="preserve">Ovo povećanje posljedica je izdvajanja dodatnih sredstava kako bi se pomoglo poduzetnicima u gradu Osijeku i trgovačkim društvima u većinskom vlasništvu Grada Osijeka čije poslovanje je direktno ugroženom pandemijom virusa COVID-19 </w:t>
      </w:r>
      <w:r w:rsidRPr="00BE5EEB">
        <w:t>U nastavku dajemo pregled isplaćenih subvencija:</w:t>
      </w:r>
    </w:p>
    <w:p w14:paraId="2933CD2E" w14:textId="77777777" w:rsidR="00291AE8" w:rsidRDefault="00291AE8" w:rsidP="00291AE8">
      <w:pPr>
        <w:tabs>
          <w:tab w:val="left" w:pos="3424"/>
        </w:tabs>
        <w:jc w:val="both"/>
        <w:rPr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98"/>
        <w:gridCol w:w="2122"/>
      </w:tblGrid>
      <w:tr w:rsidR="00291AE8" w:rsidRPr="001D3667" w14:paraId="12E444CF" w14:textId="77777777" w:rsidTr="000D72D1">
        <w:trPr>
          <w:trHeight w:val="315"/>
        </w:trPr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24E5" w14:textId="77777777" w:rsidR="00291AE8" w:rsidRPr="001D3667" w:rsidRDefault="00291AE8" w:rsidP="000D7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67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E18" w14:textId="77777777" w:rsidR="00291AE8" w:rsidRPr="001D3667" w:rsidRDefault="00291AE8" w:rsidP="000D72D1">
            <w:pPr>
              <w:jc w:val="center"/>
              <w:rPr>
                <w:b/>
                <w:bCs/>
                <w:sz w:val="20"/>
                <w:szCs w:val="20"/>
              </w:rPr>
            </w:pPr>
            <w:r w:rsidRPr="001D3667">
              <w:rPr>
                <w:b/>
                <w:bCs/>
                <w:sz w:val="20"/>
                <w:szCs w:val="20"/>
              </w:rPr>
              <w:t>IZNOS</w:t>
            </w:r>
          </w:p>
        </w:tc>
      </w:tr>
      <w:tr w:rsidR="00291AE8" w:rsidRPr="001D3667" w14:paraId="7190DAD5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76DD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GPP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E8EF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29.650.000,00</w:t>
            </w:r>
          </w:p>
        </w:tc>
      </w:tr>
      <w:tr w:rsidR="00291AE8" w:rsidRPr="001D3667" w14:paraId="2CE92871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1E8E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Športski objekti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0D1E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18.655.000,00</w:t>
            </w:r>
          </w:p>
        </w:tc>
      </w:tr>
      <w:tr w:rsidR="00291AE8" w:rsidRPr="001D3667" w14:paraId="2EB029BB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4A26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Potpore poduzetništvu za suzbijanje negativnih ekonomskih posljedica krize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5824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9.201.000,00</w:t>
            </w:r>
          </w:p>
        </w:tc>
      </w:tr>
      <w:tr w:rsidR="00291AE8" w:rsidRPr="001D3667" w14:paraId="6DBFC280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DCE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Unikom-Zoo vrt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DA1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3.600.000,00</w:t>
            </w:r>
          </w:p>
        </w:tc>
      </w:tr>
      <w:tr w:rsidR="00291AE8" w:rsidRPr="001D3667" w14:paraId="157D19F5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A09B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sektoru-Športski objekti-dug Vodovod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611B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1.530.000,00</w:t>
            </w:r>
          </w:p>
        </w:tc>
      </w:tr>
      <w:tr w:rsidR="00291AE8" w:rsidRPr="001D3667" w14:paraId="5CEE4165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AFA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Osječkom sajmu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3E5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955.000,00</w:t>
            </w:r>
          </w:p>
        </w:tc>
      </w:tr>
      <w:tr w:rsidR="00291AE8" w:rsidRPr="001D3667" w14:paraId="775588BD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AB4A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TRŽNICA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096D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940.000,00</w:t>
            </w:r>
          </w:p>
        </w:tc>
      </w:tr>
      <w:tr w:rsidR="00291AE8" w:rsidRPr="001D3667" w14:paraId="00789C65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BB77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UKOP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80FF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789.000,00</w:t>
            </w:r>
          </w:p>
        </w:tc>
      </w:tr>
      <w:tr w:rsidR="00291AE8" w:rsidRPr="001D3667" w14:paraId="3EE80D82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7595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Poticanje zapošljavanja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9305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784.673,17</w:t>
            </w:r>
          </w:p>
        </w:tc>
      </w:tr>
      <w:tr w:rsidR="00291AE8" w:rsidRPr="001D3667" w14:paraId="68736E99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88F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Tekuće održavanje - Športski objekti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8F7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738.750,00</w:t>
            </w:r>
          </w:p>
        </w:tc>
      </w:tr>
      <w:tr w:rsidR="00291AE8" w:rsidRPr="001D3667" w14:paraId="20E57499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FBD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trgovačkim društvima u javnom sektoru - ZAVOD ZA STANOVANJE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EAD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291AE8" w:rsidRPr="001D3667" w14:paraId="64F05523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CB94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Poticaji poduzetnicima u poduzetničkom inkubatoru BIOS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B6E0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291AE8" w:rsidRPr="001D3667" w14:paraId="723A24E6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0E88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Otplata cash poola-Športski objekti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A0C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444.940,73</w:t>
            </w:r>
          </w:p>
        </w:tc>
      </w:tr>
      <w:tr w:rsidR="00291AE8" w:rsidRPr="001D3667" w14:paraId="75A8D36A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83E4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Otplata cash poola-Ukop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90E0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361.000,00</w:t>
            </w:r>
          </w:p>
        </w:tc>
      </w:tr>
      <w:tr w:rsidR="00291AE8" w:rsidRPr="001D3667" w14:paraId="5CE9C0D2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7507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iz EU sredstava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808F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266.850,00</w:t>
            </w:r>
          </w:p>
        </w:tc>
      </w:tr>
      <w:tr w:rsidR="00291AE8" w:rsidRPr="001D3667" w14:paraId="3B98CFB0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0E16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kamata po poduzetničkim kreditima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14A5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226.574,88</w:t>
            </w:r>
          </w:p>
        </w:tc>
      </w:tr>
      <w:tr w:rsidR="00291AE8" w:rsidRPr="001D3667" w14:paraId="3E63DCAF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34B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Sufinanciranje programa Tehnologijsko-razvojnog centra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4B6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90.000,00</w:t>
            </w:r>
          </w:p>
        </w:tc>
      </w:tr>
      <w:tr w:rsidR="00291AE8" w:rsidRPr="001D3667" w14:paraId="3E85DA4C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F500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Subvencije - Obnovljivi izvori energije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C929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90.000,00</w:t>
            </w:r>
          </w:p>
        </w:tc>
      </w:tr>
      <w:tr w:rsidR="00291AE8" w:rsidRPr="001D3667" w14:paraId="05D0EE25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7C7D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Potpore u poljoprivredi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9F3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50.839,50</w:t>
            </w:r>
          </w:p>
        </w:tc>
      </w:tr>
      <w:tr w:rsidR="00291AE8" w:rsidRPr="001D3667" w14:paraId="0ACB1032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C421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 xml:space="preserve">Subvencije trgovačkim društvima u javnom sektoru - Športski objekti </w:t>
            </w:r>
            <w:r w:rsidR="00B75029" w:rsidRPr="001D3667">
              <w:rPr>
                <w:color w:val="000000"/>
                <w:sz w:val="20"/>
                <w:szCs w:val="20"/>
              </w:rPr>
              <w:t>foto naponske</w:t>
            </w:r>
            <w:r w:rsidRPr="001D3667">
              <w:rPr>
                <w:color w:val="000000"/>
                <w:sz w:val="20"/>
                <w:szCs w:val="20"/>
              </w:rPr>
              <w:t xml:space="preserve"> ploče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2CB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27.988,83</w:t>
            </w:r>
          </w:p>
        </w:tc>
      </w:tr>
      <w:tr w:rsidR="00291AE8" w:rsidRPr="001D3667" w14:paraId="240D1493" w14:textId="77777777" w:rsidTr="000D72D1">
        <w:trPr>
          <w:trHeight w:val="315"/>
        </w:trPr>
        <w:tc>
          <w:tcPr>
            <w:tcW w:w="3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F55A" w14:textId="77777777" w:rsidR="00291AE8" w:rsidRPr="001D3667" w:rsidRDefault="00291AE8" w:rsidP="000D72D1">
            <w:pPr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Programska djelatnost u kulturi - trgovačka društva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5776" w14:textId="77777777" w:rsidR="00291AE8" w:rsidRPr="001D3667" w:rsidRDefault="00291AE8" w:rsidP="000D72D1">
            <w:pPr>
              <w:jc w:val="right"/>
              <w:rPr>
                <w:color w:val="000000"/>
                <w:sz w:val="20"/>
                <w:szCs w:val="20"/>
              </w:rPr>
            </w:pPr>
            <w:r w:rsidRPr="001D3667">
              <w:rPr>
                <w:color w:val="000000"/>
                <w:sz w:val="20"/>
                <w:szCs w:val="20"/>
              </w:rPr>
              <w:t>24.000,00</w:t>
            </w:r>
          </w:p>
        </w:tc>
      </w:tr>
      <w:tr w:rsidR="00291AE8" w:rsidRPr="001D3667" w14:paraId="1E4C0D2E" w14:textId="77777777" w:rsidTr="000D72D1">
        <w:trPr>
          <w:trHeight w:val="330"/>
        </w:trPr>
        <w:tc>
          <w:tcPr>
            <w:tcW w:w="389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28D" w14:textId="77777777" w:rsidR="00291AE8" w:rsidRPr="001D3667" w:rsidRDefault="00291AE8" w:rsidP="000D72D1">
            <w:pPr>
              <w:rPr>
                <w:sz w:val="20"/>
                <w:szCs w:val="20"/>
              </w:rPr>
            </w:pPr>
            <w:r w:rsidRPr="001D3667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914" w14:textId="77777777" w:rsidR="00291AE8" w:rsidRPr="001D3667" w:rsidRDefault="00291AE8" w:rsidP="000D72D1">
            <w:pPr>
              <w:jc w:val="right"/>
              <w:rPr>
                <w:b/>
                <w:bCs/>
                <w:sz w:val="20"/>
                <w:szCs w:val="20"/>
              </w:rPr>
            </w:pPr>
            <w:r w:rsidRPr="001D3667">
              <w:rPr>
                <w:b/>
                <w:bCs/>
                <w:sz w:val="20"/>
                <w:szCs w:val="20"/>
              </w:rPr>
              <w:t>69.425.617,11</w:t>
            </w:r>
          </w:p>
        </w:tc>
      </w:tr>
    </w:tbl>
    <w:p w14:paraId="66A257EE" w14:textId="77777777" w:rsidR="00291AE8" w:rsidRPr="00A2429E" w:rsidRDefault="00291AE8" w:rsidP="00291AE8">
      <w:pPr>
        <w:tabs>
          <w:tab w:val="left" w:pos="3424"/>
        </w:tabs>
        <w:jc w:val="both"/>
        <w:rPr>
          <w:highlight w:val="yellow"/>
        </w:rPr>
      </w:pPr>
    </w:p>
    <w:p w14:paraId="7D142FF8" w14:textId="77777777" w:rsidR="00CD791F" w:rsidRDefault="00CD791F" w:rsidP="00CD791F">
      <w:pPr>
        <w:tabs>
          <w:tab w:val="left" w:pos="3424"/>
        </w:tabs>
        <w:jc w:val="both"/>
        <w:rPr>
          <w:b/>
        </w:rPr>
      </w:pPr>
    </w:p>
    <w:p w14:paraId="0A8131D6" w14:textId="77777777" w:rsidR="00E239B2" w:rsidRPr="00CD791F" w:rsidRDefault="003E373E" w:rsidP="003E373E">
      <w:pPr>
        <w:jc w:val="both"/>
      </w:pPr>
      <w:r>
        <w:rPr>
          <w:b/>
        </w:rPr>
        <w:t xml:space="preserve">AOP 253 </w:t>
      </w:r>
      <w:r>
        <w:rPr>
          <w:b/>
        </w:rPr>
        <w:tab/>
      </w:r>
      <w:r w:rsidR="00E239B2" w:rsidRPr="00CD791F">
        <w:t>Naknade građanima</w:t>
      </w:r>
      <w:r w:rsidR="00CD791F" w:rsidRPr="00CD791F">
        <w:t xml:space="preserve"> i kućanstvima iznose 1</w:t>
      </w:r>
      <w:r w:rsidR="00DB2378">
        <w:t>4</w:t>
      </w:r>
      <w:r w:rsidR="00CD791F" w:rsidRPr="00CD791F">
        <w:t>.</w:t>
      </w:r>
      <w:r w:rsidR="00DB2378">
        <w:t>314</w:t>
      </w:r>
      <w:r w:rsidR="00CD791F" w:rsidRPr="00CD791F">
        <w:t>.</w:t>
      </w:r>
      <w:r w:rsidR="00DB2378">
        <w:t>111</w:t>
      </w:r>
      <w:r w:rsidR="00CD791F" w:rsidRPr="00CD791F">
        <w:t xml:space="preserve"> kn i </w:t>
      </w:r>
      <w:r w:rsidR="00DB2378">
        <w:t>veće su</w:t>
      </w:r>
      <w:r w:rsidR="00CD791F" w:rsidRPr="00CD791F">
        <w:t xml:space="preserve"> za </w:t>
      </w:r>
      <w:r w:rsidR="00DB2378">
        <w:t>369</w:t>
      </w:r>
      <w:r w:rsidR="00CD791F" w:rsidRPr="00CD791F">
        <w:t>.</w:t>
      </w:r>
      <w:r w:rsidR="00DB2378">
        <w:t>511</w:t>
      </w:r>
      <w:r w:rsidR="00E239B2" w:rsidRPr="00CD791F">
        <w:t xml:space="preserve"> kn. Odnose se na pomoć obitelji i kućanstvima, stipendije i školarine, porodiljne naknade i opremu za novorođenčad te ostale naknade iz proračuna u  novcu.</w:t>
      </w:r>
      <w:r w:rsidR="00CD791F">
        <w:t xml:space="preserve"> </w:t>
      </w:r>
      <w:r w:rsidR="00035A84">
        <w:t xml:space="preserve">Proračunski korisnici-osnovne škole u </w:t>
      </w:r>
      <w:r w:rsidR="00035A84">
        <w:lastRenderedPageBreak/>
        <w:t xml:space="preserve">okviru ovih rashoda iskazali su </w:t>
      </w:r>
      <w:r>
        <w:t>nabavu</w:t>
      </w:r>
      <w:r w:rsidR="00035A84">
        <w:t xml:space="preserve"> udžbenika i radnih bilježnica </w:t>
      </w:r>
      <w:r>
        <w:t>za dio učenika kao i troškove nabave</w:t>
      </w:r>
      <w:r w:rsidR="00035A84">
        <w:t xml:space="preserve"> zaštitnih maski za učenike.</w:t>
      </w:r>
    </w:p>
    <w:p w14:paraId="19619238" w14:textId="77777777" w:rsidR="00E239B2" w:rsidRPr="00DF0295" w:rsidRDefault="00E239B2" w:rsidP="00E239B2">
      <w:pPr>
        <w:ind w:firstLine="851"/>
        <w:rPr>
          <w:highlight w:val="yellow"/>
        </w:rPr>
      </w:pPr>
    </w:p>
    <w:p w14:paraId="4F334004" w14:textId="77777777" w:rsidR="00DB2378" w:rsidRDefault="003E373E" w:rsidP="003E373E">
      <w:pPr>
        <w:jc w:val="both"/>
      </w:pPr>
      <w:r>
        <w:rPr>
          <w:b/>
        </w:rPr>
        <w:t xml:space="preserve">AOP 259 </w:t>
      </w:r>
      <w:r>
        <w:rPr>
          <w:b/>
        </w:rPr>
        <w:tab/>
      </w:r>
      <w:r w:rsidR="00DB2378" w:rsidRPr="00BF24C7">
        <w:t>Tekuće</w:t>
      </w:r>
      <w:r w:rsidR="00DB2378">
        <w:t xml:space="preserve"> donacije u novcu u 2020. iznose 23.473.654 kn što je za 6.557.937 ili-ili 21,8% </w:t>
      </w:r>
      <w:r w:rsidR="000757F0">
        <w:t>manje u odnosu na 2019.</w:t>
      </w:r>
      <w:r w:rsidR="00DB2378">
        <w:t xml:space="preserve"> Najveće smanjenje bilježe sustav sportskih priprema i natjecanja u iznosu od 3.014.090 kn, vatrogasna zajednica u iznosu od 727.000 kn i sportske zajednice i savezi u iznosu od 385.000 kn.</w:t>
      </w:r>
    </w:p>
    <w:p w14:paraId="7C2BB2D7" w14:textId="77777777" w:rsidR="00E814BF" w:rsidRDefault="00E814BF" w:rsidP="008E003E">
      <w:pPr>
        <w:tabs>
          <w:tab w:val="left" w:pos="3424"/>
        </w:tabs>
        <w:ind w:firstLine="851"/>
        <w:jc w:val="both"/>
        <w:rPr>
          <w:highlight w:val="yellow"/>
        </w:rPr>
      </w:pPr>
    </w:p>
    <w:p w14:paraId="3378D6B2" w14:textId="77777777" w:rsidR="00A90B24" w:rsidRDefault="00A90B24" w:rsidP="00A90B24">
      <w:pPr>
        <w:jc w:val="both"/>
      </w:pPr>
      <w:r w:rsidRPr="003F0CC0">
        <w:rPr>
          <w:b/>
        </w:rPr>
        <w:t>AOP 273</w:t>
      </w:r>
      <w:r>
        <w:t xml:space="preserve"> – Smanjenje unutar ovog AOP-a iznosi 1.136.040 kn u odnosu na 2019.</w:t>
      </w:r>
    </w:p>
    <w:p w14:paraId="3DD1366B" w14:textId="77777777" w:rsidR="00A90B24" w:rsidRPr="00BB77A9" w:rsidRDefault="00A90B24" w:rsidP="00A90B24">
      <w:pPr>
        <w:jc w:val="both"/>
      </w:pPr>
      <w:r>
        <w:t>U 2020. nije bilo pomoći BIOS-u za izgradnju hale, a što je u 2019. iznosilo 300.000 kn. Ujedno, pomoći Športskim objektima d.o.o. smanjene su za</w:t>
      </w:r>
      <w:r w:rsidR="003E373E">
        <w:t xml:space="preserve"> 621.230 kn u odnosu na 2019. kada je Grad Osijek osigurao dodatna sredstva za podmirenje duga za vodu za kupalište Copacabana.</w:t>
      </w:r>
    </w:p>
    <w:p w14:paraId="1E2172DA" w14:textId="77777777" w:rsidR="00A90B24" w:rsidRPr="00A2429E" w:rsidRDefault="00A90B24" w:rsidP="00A90B24">
      <w:pPr>
        <w:tabs>
          <w:tab w:val="left" w:pos="3424"/>
        </w:tabs>
        <w:jc w:val="both"/>
        <w:rPr>
          <w:highlight w:val="yellow"/>
        </w:rPr>
      </w:pPr>
    </w:p>
    <w:p w14:paraId="043FCFB8" w14:textId="77777777" w:rsidR="00A90B24" w:rsidRDefault="00A90B24" w:rsidP="00A90B24">
      <w:pPr>
        <w:jc w:val="both"/>
        <w:rPr>
          <w:b/>
          <w:sz w:val="28"/>
          <w:szCs w:val="28"/>
          <w:u w:val="single"/>
        </w:rPr>
      </w:pPr>
    </w:p>
    <w:p w14:paraId="1F107400" w14:textId="77777777" w:rsidR="00E341F2" w:rsidRPr="00BE79D0" w:rsidRDefault="00687D61" w:rsidP="00A73C9E">
      <w:pPr>
        <w:tabs>
          <w:tab w:val="left" w:pos="3424"/>
        </w:tabs>
        <w:ind w:firstLine="851"/>
        <w:jc w:val="both"/>
        <w:rPr>
          <w:b/>
        </w:rPr>
      </w:pPr>
      <w:r w:rsidRPr="00BE79D0">
        <w:rPr>
          <w:b/>
        </w:rPr>
        <w:t>Prihodi od prodaje nefinancijske imovine</w:t>
      </w:r>
    </w:p>
    <w:p w14:paraId="553EF9A4" w14:textId="77777777" w:rsidR="00A73C9E" w:rsidRPr="00DF0295" w:rsidRDefault="00A73C9E" w:rsidP="00A73C9E">
      <w:pPr>
        <w:tabs>
          <w:tab w:val="left" w:pos="3424"/>
        </w:tabs>
        <w:ind w:firstLine="851"/>
        <w:jc w:val="both"/>
        <w:rPr>
          <w:b/>
          <w:highlight w:val="yellow"/>
        </w:rPr>
      </w:pPr>
    </w:p>
    <w:p w14:paraId="6BFBFA04" w14:textId="77777777" w:rsidR="00A90B24" w:rsidRPr="001B0BB4" w:rsidRDefault="00A90B24" w:rsidP="00A90B24">
      <w:pPr>
        <w:jc w:val="both"/>
      </w:pPr>
      <w:r w:rsidRPr="001B0BB4">
        <w:rPr>
          <w:b/>
        </w:rPr>
        <w:t>AOP 289</w:t>
      </w:r>
      <w:r w:rsidR="003E373E">
        <w:t xml:space="preserve"> </w:t>
      </w:r>
      <w:r w:rsidR="003E373E">
        <w:tab/>
      </w:r>
      <w:r w:rsidRPr="001B0BB4">
        <w:t xml:space="preserve">Prihodi od prodaje nefinancijske imovine u 2020. godini iznose </w:t>
      </w:r>
      <w:r>
        <w:t xml:space="preserve">6.896.176 kn od čega su prihodi Grada Osijeka </w:t>
      </w:r>
      <w:r w:rsidRPr="001B0BB4">
        <w:t>6.807.324 kn</w:t>
      </w:r>
      <w:r>
        <w:t>. Isto je</w:t>
      </w:r>
      <w:r w:rsidRPr="001B0BB4">
        <w:t xml:space="preserve"> 1.3</w:t>
      </w:r>
      <w:r>
        <w:t>57.151</w:t>
      </w:r>
      <w:r w:rsidRPr="001B0BB4">
        <w:t xml:space="preserve"> kn</w:t>
      </w:r>
      <w:r>
        <w:t xml:space="preserve"> ili 16,7%</w:t>
      </w:r>
      <w:r w:rsidRPr="001B0BB4">
        <w:t xml:space="preserve"> manje u odnosu na 2019.  Razlika se najvećim dijelom odnosi na smanjene prihode od prodaje stanova na obročnu otplatu u iznosu od 1.105.742 kn. </w:t>
      </w:r>
    </w:p>
    <w:p w14:paraId="3CB36BCE" w14:textId="77777777" w:rsidR="00687D61" w:rsidRPr="00DF0295" w:rsidRDefault="00687D61" w:rsidP="008E003E">
      <w:pPr>
        <w:tabs>
          <w:tab w:val="left" w:pos="3424"/>
        </w:tabs>
        <w:ind w:firstLine="851"/>
        <w:jc w:val="both"/>
        <w:rPr>
          <w:highlight w:val="yellow"/>
        </w:rPr>
      </w:pPr>
    </w:p>
    <w:p w14:paraId="4A3B9D85" w14:textId="77777777" w:rsidR="00BE79D0" w:rsidRPr="001616CB" w:rsidRDefault="001616CB" w:rsidP="00126753">
      <w:pPr>
        <w:jc w:val="both"/>
      </w:pPr>
      <w:r w:rsidRPr="001616CB">
        <w:rPr>
          <w:b/>
        </w:rPr>
        <w:tab/>
      </w:r>
    </w:p>
    <w:p w14:paraId="6C16CF6E" w14:textId="77777777" w:rsidR="00A73C9E" w:rsidRPr="007E7FA8" w:rsidRDefault="00A73C9E" w:rsidP="00E341F2">
      <w:pPr>
        <w:ind w:firstLine="708"/>
      </w:pPr>
    </w:p>
    <w:p w14:paraId="4220A02E" w14:textId="77777777" w:rsidR="00A73C9E" w:rsidRPr="007E7FA8" w:rsidRDefault="00A73C9E" w:rsidP="00E341F2">
      <w:pPr>
        <w:ind w:firstLine="708"/>
        <w:rPr>
          <w:b/>
        </w:rPr>
      </w:pPr>
      <w:r w:rsidRPr="007E7FA8">
        <w:rPr>
          <w:b/>
        </w:rPr>
        <w:t>Rashodi za nabavu nefinancijske imovine</w:t>
      </w:r>
    </w:p>
    <w:p w14:paraId="78ADC9DE" w14:textId="77777777" w:rsidR="00A73C9E" w:rsidRPr="00DF0295" w:rsidRDefault="00A73C9E" w:rsidP="00E341F2">
      <w:pPr>
        <w:ind w:firstLine="708"/>
        <w:rPr>
          <w:b/>
          <w:highlight w:val="yellow"/>
        </w:rPr>
      </w:pPr>
    </w:p>
    <w:p w14:paraId="3E263C97" w14:textId="77777777" w:rsidR="00477598" w:rsidRDefault="00477598" w:rsidP="00477598">
      <w:pPr>
        <w:jc w:val="both"/>
      </w:pPr>
      <w:r w:rsidRPr="00336CF0">
        <w:rPr>
          <w:b/>
        </w:rPr>
        <w:t>AOP 341</w:t>
      </w:r>
      <w:r w:rsidR="003E373E">
        <w:t xml:space="preserve"> </w:t>
      </w:r>
      <w:r w:rsidR="003E373E">
        <w:tab/>
      </w:r>
      <w:r w:rsidRPr="00336CF0">
        <w:t>Rashodi za nabavu nefinancijske imovine izvršeni su u svoti od</w:t>
      </w:r>
      <w:r>
        <w:t xml:space="preserve"> 138.302.202 kn od čega se na sam Grad Osijek odnosi iznos</w:t>
      </w:r>
      <w:r w:rsidRPr="00336CF0">
        <w:t xml:space="preserve"> 131.140.131 kn</w:t>
      </w:r>
      <w:r>
        <w:t xml:space="preserve"> a na proračunske korisnike 7.162.071 kn</w:t>
      </w:r>
      <w:r w:rsidRPr="00336CF0">
        <w:t xml:space="preserve">. </w:t>
      </w:r>
    </w:p>
    <w:p w14:paraId="5BEF38E8" w14:textId="77777777" w:rsidR="00477598" w:rsidRDefault="00477598" w:rsidP="00477598">
      <w:pPr>
        <w:jc w:val="both"/>
      </w:pPr>
    </w:p>
    <w:p w14:paraId="03670423" w14:textId="77777777" w:rsidR="00477598" w:rsidRPr="003F0CC0" w:rsidRDefault="00477598" w:rsidP="00477598">
      <w:pPr>
        <w:jc w:val="both"/>
      </w:pPr>
      <w:r w:rsidRPr="003F0CC0">
        <w:rPr>
          <w:b/>
        </w:rPr>
        <w:t>AOP 344</w:t>
      </w:r>
      <w:r w:rsidR="003E373E">
        <w:t xml:space="preserve"> </w:t>
      </w:r>
      <w:r w:rsidR="003E373E">
        <w:tab/>
      </w:r>
      <w:r>
        <w:t>U 2019. je izvršena zamjena nekretnina s Poljoprivrednim institutom Osijek čega u 2020. godini nije bilo.</w:t>
      </w:r>
    </w:p>
    <w:p w14:paraId="22165CC0" w14:textId="77777777" w:rsidR="00477598" w:rsidRPr="00A2429E" w:rsidRDefault="00477598" w:rsidP="00477598">
      <w:pPr>
        <w:jc w:val="both"/>
        <w:rPr>
          <w:highlight w:val="yellow"/>
        </w:rPr>
      </w:pPr>
    </w:p>
    <w:p w14:paraId="4EF107C4" w14:textId="77777777" w:rsidR="00477598" w:rsidRPr="00940AF9" w:rsidRDefault="00477598" w:rsidP="00477598">
      <w:pPr>
        <w:jc w:val="both"/>
      </w:pPr>
      <w:r w:rsidRPr="00940AF9">
        <w:rPr>
          <w:b/>
        </w:rPr>
        <w:t>AOP 353</w:t>
      </w:r>
      <w:r w:rsidR="003E373E">
        <w:t xml:space="preserve"> </w:t>
      </w:r>
      <w:r w:rsidR="003E373E">
        <w:tab/>
      </w:r>
      <w:r w:rsidRPr="00940AF9">
        <w:t xml:space="preserve">U okviru ovoga AOP-a iskazani su rashodi za nabavu pripremne dokumentacije za realizaciju planiranih projekata Grada. </w:t>
      </w:r>
      <w:r>
        <w:t>Smanjenje AOP-a u odnosu na 2019. godinu iznosi 5.967.463 kn, a najvećim se dijelom odnosi na troškove projektne dokumentacija za Pripremu programa obnove i upravljanja kulturnim dobrima u iznosu od 3.514.825 kn i rashode za projektnu dokumentaciju upravljanja građevinskim zemljištima u vlasništvu Grada u iznosu od 1.203.830 kn kojih u 2020. godini nije bilo. Ovaj AOP ovisi o dinamici pripremanja projekata, a samim time i projektne dokumentacije.</w:t>
      </w:r>
    </w:p>
    <w:p w14:paraId="0FC3D820" w14:textId="77777777" w:rsidR="00477598" w:rsidRPr="00A2429E" w:rsidRDefault="00477598" w:rsidP="00477598">
      <w:pPr>
        <w:jc w:val="both"/>
        <w:rPr>
          <w:highlight w:val="yellow"/>
        </w:rPr>
      </w:pPr>
    </w:p>
    <w:p w14:paraId="67470902" w14:textId="77777777" w:rsidR="00477598" w:rsidRPr="00940D3E" w:rsidRDefault="00477598" w:rsidP="00477598">
      <w:pPr>
        <w:jc w:val="both"/>
      </w:pPr>
      <w:r w:rsidRPr="00940D3E">
        <w:rPr>
          <w:b/>
        </w:rPr>
        <w:t>AOP 356</w:t>
      </w:r>
      <w:r w:rsidR="003E373E">
        <w:t xml:space="preserve"> </w:t>
      </w:r>
      <w:r w:rsidR="003E373E">
        <w:tab/>
      </w:r>
      <w:r>
        <w:t xml:space="preserve">U 2020. godini rashodi za nabavu stambenih objekata iznose 3.797.371 kn što je za 3.364.371 kn ili 777% više u odnosu na 2019. godinu. Povećanje se odnosi na izgradnju </w:t>
      </w:r>
      <w:r w:rsidR="00B75029">
        <w:t>vise stambene</w:t>
      </w:r>
      <w:r>
        <w:t xml:space="preserve"> zgrade u Osijeku u Opatijskoj ulici zbog potrebe stambenog zbrinjavanja socijalno ugroženih građana.</w:t>
      </w:r>
    </w:p>
    <w:p w14:paraId="2B317336" w14:textId="77777777" w:rsidR="00477598" w:rsidRPr="00A2429E" w:rsidRDefault="00477598" w:rsidP="00477598">
      <w:pPr>
        <w:jc w:val="both"/>
        <w:rPr>
          <w:highlight w:val="yellow"/>
        </w:rPr>
      </w:pPr>
    </w:p>
    <w:p w14:paraId="231D9E29" w14:textId="77777777" w:rsidR="00477598" w:rsidRPr="004F76C5" w:rsidRDefault="00477598" w:rsidP="00477598">
      <w:pPr>
        <w:jc w:val="both"/>
      </w:pPr>
      <w:r w:rsidRPr="004F76C5">
        <w:rPr>
          <w:b/>
        </w:rPr>
        <w:lastRenderedPageBreak/>
        <w:t>AOP 357</w:t>
      </w:r>
      <w:r w:rsidR="003E373E">
        <w:t xml:space="preserve"> </w:t>
      </w:r>
      <w:r w:rsidR="003E373E">
        <w:tab/>
      </w:r>
      <w:r>
        <w:t>U 2020. godini u okviru ovih rashoda iskazano je uređenje Kulturnog centra Osijek u iznosu od 12.227.299 kn, izgradnja školskih prostora OŠ Mladost u iznosu od 2.347.426 kn te izgradnja školskih prostora OŠ Briješće u iznosu od 1.048.232 kn.</w:t>
      </w:r>
      <w:r w:rsidR="00ED54F6">
        <w:t xml:space="preserve"> Smanjenje u iznosu 22.435.019 kn u odnosu na 2019. se odnosi na završetak investicija rekonstrukcije i izgradnje osnovnih škola u Tenji i Briješću za koje su u 2019. izdvojena značajna financijska sredstva.</w:t>
      </w:r>
    </w:p>
    <w:p w14:paraId="42493F92" w14:textId="77777777" w:rsidR="00477598" w:rsidRPr="00A2429E" w:rsidRDefault="00477598" w:rsidP="00477598">
      <w:pPr>
        <w:jc w:val="both"/>
        <w:rPr>
          <w:highlight w:val="yellow"/>
        </w:rPr>
      </w:pPr>
    </w:p>
    <w:p w14:paraId="0F18921E" w14:textId="77777777" w:rsidR="00477598" w:rsidRDefault="00477598" w:rsidP="00477598">
      <w:pPr>
        <w:jc w:val="both"/>
      </w:pPr>
      <w:r w:rsidRPr="007642A2">
        <w:rPr>
          <w:b/>
        </w:rPr>
        <w:t>AOP 358</w:t>
      </w:r>
      <w:r w:rsidR="003E373E">
        <w:t xml:space="preserve"> </w:t>
      </w:r>
      <w:r w:rsidR="003E373E">
        <w:tab/>
      </w:r>
      <w:r w:rsidRPr="007642A2">
        <w:t xml:space="preserve"> </w:t>
      </w:r>
      <w:r>
        <w:t>Rashodi za izgradnju cesta, biciklističkih staza i ostalih prometnih objekata izvršeni su u 2020. godini u iznosu od 15.160.226 kn i najvećim dijelom odnose se na sljedeće investicije:</w:t>
      </w:r>
    </w:p>
    <w:p w14:paraId="3CAA46B7" w14:textId="77777777" w:rsidR="003E373E" w:rsidRDefault="00477598" w:rsidP="00477598">
      <w:pPr>
        <w:jc w:val="both"/>
      </w:pPr>
      <w:r>
        <w:tab/>
      </w:r>
    </w:p>
    <w:p w14:paraId="6B67AEB3" w14:textId="77777777" w:rsidR="00477598" w:rsidRDefault="00477598" w:rsidP="003E373E">
      <w:pPr>
        <w:ind w:firstLine="708"/>
        <w:jc w:val="both"/>
      </w:pPr>
      <w:r>
        <w:t>Izgradnja cesta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9.297.751 kn</w:t>
      </w:r>
    </w:p>
    <w:p w14:paraId="03A5E92A" w14:textId="77777777" w:rsidR="00477598" w:rsidRDefault="00477598" w:rsidP="00477598">
      <w:pPr>
        <w:jc w:val="both"/>
      </w:pPr>
      <w:r>
        <w:tab/>
        <w:t>Izgradnja biciklističkih staza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4.961.541 kn</w:t>
      </w:r>
    </w:p>
    <w:p w14:paraId="0EEEA589" w14:textId="77777777" w:rsidR="00477598" w:rsidRPr="007642A2" w:rsidRDefault="00477598" w:rsidP="00477598">
      <w:pPr>
        <w:jc w:val="both"/>
      </w:pPr>
      <w:r>
        <w:tab/>
        <w:t>Izgradnja ostalih javnih površina (Campus)</w:t>
      </w:r>
      <w:r>
        <w:tab/>
        <w:t xml:space="preserve">   </w:t>
      </w:r>
      <w:r>
        <w:tab/>
      </w:r>
      <w:r>
        <w:tab/>
      </w:r>
      <w:r>
        <w:tab/>
      </w:r>
      <w:r>
        <w:tab/>
        <w:t>599.386 kn</w:t>
      </w:r>
      <w:r>
        <w:tab/>
      </w:r>
      <w:r>
        <w:tab/>
      </w:r>
    </w:p>
    <w:p w14:paraId="745131DD" w14:textId="77777777" w:rsidR="00477598" w:rsidRPr="00A2429E" w:rsidRDefault="00477598" w:rsidP="00477598">
      <w:pPr>
        <w:jc w:val="both"/>
        <w:rPr>
          <w:highlight w:val="yellow"/>
        </w:rPr>
      </w:pPr>
    </w:p>
    <w:p w14:paraId="69F2D4DB" w14:textId="77777777" w:rsidR="00477598" w:rsidRDefault="00477598" w:rsidP="00477598">
      <w:pPr>
        <w:jc w:val="both"/>
      </w:pPr>
      <w:r w:rsidRPr="007642A2">
        <w:rPr>
          <w:b/>
        </w:rPr>
        <w:t>AOP 359</w:t>
      </w:r>
      <w:r w:rsidR="003E373E">
        <w:t xml:space="preserve"> </w:t>
      </w:r>
      <w:r w:rsidR="003E373E">
        <w:tab/>
      </w:r>
      <w:r>
        <w:t>Rashodi u okviru računa Ostali građevinski objekti izvršeni su u iznosu od 73.1</w:t>
      </w:r>
      <w:r w:rsidR="00ED54F6">
        <w:t>60</w:t>
      </w:r>
      <w:r>
        <w:t>.</w:t>
      </w:r>
      <w:r w:rsidR="0071423A">
        <w:t>897</w:t>
      </w:r>
      <w:r>
        <w:t xml:space="preserve"> kn ili 128,1%. Pregled rashoda unutar ovog AOP-a u nastavku:</w:t>
      </w:r>
    </w:p>
    <w:p w14:paraId="23DCD337" w14:textId="77777777" w:rsidR="00477598" w:rsidRDefault="00477598" w:rsidP="00477598">
      <w:pPr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71"/>
        <w:gridCol w:w="1649"/>
      </w:tblGrid>
      <w:tr w:rsidR="00477598" w:rsidRPr="00F55ECB" w14:paraId="74141983" w14:textId="77777777" w:rsidTr="000D72D1">
        <w:trPr>
          <w:trHeight w:val="315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AFE8" w14:textId="77777777" w:rsidR="00477598" w:rsidRPr="00F55ECB" w:rsidRDefault="00477598" w:rsidP="000D72D1">
            <w:pPr>
              <w:jc w:val="center"/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49B3" w14:textId="77777777" w:rsidR="00477598" w:rsidRPr="00F55ECB" w:rsidRDefault="00477598" w:rsidP="000D72D1">
            <w:pPr>
              <w:jc w:val="center"/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IZNOS</w:t>
            </w:r>
          </w:p>
        </w:tc>
      </w:tr>
      <w:tr w:rsidR="00477598" w:rsidRPr="00F55ECB" w14:paraId="33A2B2E9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AD5A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ODLAGALIŠTE OTPADA NEMETIN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2BC9" w14:textId="77777777" w:rsidR="00ED54F6" w:rsidRPr="00F55ECB" w:rsidRDefault="00ED54F6" w:rsidP="00ED54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32.633.352</w:t>
            </w:r>
          </w:p>
        </w:tc>
      </w:tr>
      <w:tr w:rsidR="00477598" w:rsidRPr="00F55ECB" w14:paraId="7FEF2C18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55E9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ENERGETSKA OBNOVA OŠ MLADOST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8724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9.170.658</w:t>
            </w:r>
          </w:p>
        </w:tc>
      </w:tr>
      <w:tr w:rsidR="00477598" w:rsidRPr="00F55ECB" w14:paraId="17A5947E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8184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RAZVOJ I UNAPRJEĐENJ</w:t>
            </w:r>
            <w:r>
              <w:rPr>
                <w:color w:val="000000"/>
                <w:sz w:val="20"/>
                <w:szCs w:val="20"/>
              </w:rPr>
              <w:t xml:space="preserve">E OSJEČKE TVRĐE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4E7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6.264.975</w:t>
            </w:r>
          </w:p>
        </w:tc>
      </w:tr>
      <w:tr w:rsidR="00477598" w:rsidRPr="00F55ECB" w14:paraId="671472B8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5FB1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ODLAGALIŠTE OTPADA LONČARICA VELIKA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2CC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4.597.399</w:t>
            </w:r>
          </w:p>
        </w:tc>
      </w:tr>
      <w:tr w:rsidR="00477598" w:rsidRPr="00F55ECB" w14:paraId="6A7A0F35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B4A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ENERGETSKA OBNOVA OŠ VIJENAC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5AF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4.546.639</w:t>
            </w:r>
          </w:p>
        </w:tc>
      </w:tr>
      <w:tr w:rsidR="00477598" w:rsidRPr="00F55ECB" w14:paraId="2D04184A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4CC7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IZGRADNJA KREMATORIJA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570A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3.510.768</w:t>
            </w:r>
          </w:p>
        </w:tc>
      </w:tr>
      <w:tr w:rsidR="00477598" w:rsidRPr="00F55ECB" w14:paraId="10BEB4C8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9E4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 PARK OSIJEK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6C7C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2.878.465</w:t>
            </w:r>
          </w:p>
        </w:tc>
      </w:tr>
      <w:tr w:rsidR="00477598" w:rsidRPr="00F55ECB" w14:paraId="4FDA44E0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0710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ENERGETSKA OBNOVA DJEČJEG VRTIĆA POTOČNICA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E9AD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2.445.549</w:t>
            </w:r>
          </w:p>
        </w:tc>
      </w:tr>
      <w:tr w:rsidR="00477598" w:rsidRPr="00F55ECB" w14:paraId="5F388D01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39B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GReENERGY HR-SR290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6B2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2.059.747</w:t>
            </w:r>
          </w:p>
        </w:tc>
      </w:tr>
      <w:tr w:rsidR="00477598" w:rsidRPr="00F55ECB" w14:paraId="72A69034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066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ENERGETSKA OBNOVA DV LATICA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526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1.992.807</w:t>
            </w:r>
          </w:p>
        </w:tc>
      </w:tr>
      <w:tr w:rsidR="00477598" w:rsidRPr="00F55ECB" w14:paraId="7252313C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0D14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IZGRADNJA KOLEKTORA OBORINSKE ODVODNJE PAMPAS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B192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1.093.863</w:t>
            </w:r>
          </w:p>
        </w:tc>
      </w:tr>
      <w:tr w:rsidR="00477598" w:rsidRPr="00F55ECB" w14:paraId="3D3864AF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D19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IZGRADNJA OSTALIH JAVNIH POVRŠINA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0D20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758.397</w:t>
            </w:r>
          </w:p>
        </w:tc>
      </w:tr>
      <w:tr w:rsidR="00477598" w:rsidRPr="00F55ECB" w14:paraId="13E70CC2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622B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UREĐENJE I OPREMANJE ŠKOLA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E83C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338.578</w:t>
            </w:r>
          </w:p>
        </w:tc>
      </w:tr>
      <w:tr w:rsidR="00477598" w:rsidRPr="00F55ECB" w14:paraId="42A23EB0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227B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IZGRADNJA I REKONSTRUKCIJA JAVNE RASVJETE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7E68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293.037</w:t>
            </w:r>
          </w:p>
        </w:tc>
      </w:tr>
      <w:tr w:rsidR="00477598" w:rsidRPr="00F55ECB" w14:paraId="125B683E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B6C8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ODLAGALIŠTE OTPADA SARVAŠ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67C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267.321</w:t>
            </w:r>
          </w:p>
        </w:tc>
      </w:tr>
      <w:tr w:rsidR="00477598" w:rsidRPr="00F55ECB" w14:paraId="35A54777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A27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ODRŽAVANJE SUSTAVA OTVORENE KANALSKE MREŽE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FCE2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141.067</w:t>
            </w:r>
          </w:p>
        </w:tc>
      </w:tr>
      <w:tr w:rsidR="00477598" w:rsidRPr="00F55ECB" w14:paraId="662190D6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6026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BICIKLISTIČKE STAZE GRADA OSIJEKA - BILJSKA I TENJSKA CES</w:t>
            </w:r>
            <w:r>
              <w:rPr>
                <w:color w:val="000000"/>
                <w:sz w:val="20"/>
                <w:szCs w:val="20"/>
              </w:rPr>
              <w:t>TA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2F6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73.625</w:t>
            </w:r>
          </w:p>
        </w:tc>
      </w:tr>
      <w:tr w:rsidR="00477598" w:rsidRPr="00F55ECB" w14:paraId="212EC20B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47CC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ODRŽAVANJE JAVNIH POVRŠINA GRADA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FB9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59.353</w:t>
            </w:r>
          </w:p>
        </w:tc>
      </w:tr>
      <w:tr w:rsidR="00477598" w:rsidRPr="00F55ECB" w14:paraId="1E9D23B3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DE90" w14:textId="77777777" w:rsidR="00477598" w:rsidRPr="00F55ECB" w:rsidRDefault="00477598" w:rsidP="000D72D1">
            <w:pPr>
              <w:rPr>
                <w:color w:val="000000"/>
                <w:sz w:val="20"/>
                <w:szCs w:val="20"/>
              </w:rPr>
            </w:pPr>
            <w:r w:rsidRPr="00F55ECB">
              <w:rPr>
                <w:color w:val="000000"/>
                <w:sz w:val="20"/>
                <w:szCs w:val="20"/>
              </w:rPr>
              <w:t>IZGRADNJA CESTA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77D" w14:textId="77777777" w:rsidR="00477598" w:rsidRPr="00F55ECB" w:rsidRDefault="00ED54F6" w:rsidP="000D72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</w:t>
            </w:r>
          </w:p>
        </w:tc>
      </w:tr>
      <w:tr w:rsidR="00ED54F6" w:rsidRPr="00F55ECB" w14:paraId="5CE7462D" w14:textId="77777777" w:rsidTr="000D72D1">
        <w:trPr>
          <w:trHeight w:val="315"/>
        </w:trPr>
        <w:tc>
          <w:tcPr>
            <w:tcW w:w="4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42FA" w14:textId="77777777" w:rsidR="00ED54F6" w:rsidRPr="00F55ECB" w:rsidRDefault="0071423A" w:rsidP="000D72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OŠ VIŠNJEVAC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619" w14:textId="77777777" w:rsidR="00ED54F6" w:rsidRDefault="0071423A" w:rsidP="007142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ED54F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296</w:t>
            </w:r>
          </w:p>
        </w:tc>
      </w:tr>
      <w:tr w:rsidR="00477598" w:rsidRPr="00F55ECB" w14:paraId="34819CC5" w14:textId="77777777" w:rsidTr="000D72D1">
        <w:trPr>
          <w:trHeight w:val="330"/>
        </w:trPr>
        <w:tc>
          <w:tcPr>
            <w:tcW w:w="414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5ED" w14:textId="77777777" w:rsidR="00477598" w:rsidRPr="00F55ECB" w:rsidRDefault="00477598" w:rsidP="000D72D1">
            <w:pPr>
              <w:rPr>
                <w:sz w:val="20"/>
                <w:szCs w:val="20"/>
              </w:rPr>
            </w:pPr>
            <w:r w:rsidRPr="00F55ECB">
              <w:rPr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456" w14:textId="77777777" w:rsidR="00477598" w:rsidRPr="00F55ECB" w:rsidRDefault="00ED54F6" w:rsidP="007142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73.1</w:t>
            </w:r>
            <w:r w:rsidR="0071423A">
              <w:rPr>
                <w:b/>
                <w:bCs/>
                <w:noProof/>
                <w:sz w:val="20"/>
                <w:szCs w:val="20"/>
              </w:rPr>
              <w:t>6</w:t>
            </w:r>
            <w:r>
              <w:rPr>
                <w:b/>
                <w:bCs/>
                <w:noProof/>
                <w:sz w:val="20"/>
                <w:szCs w:val="20"/>
              </w:rPr>
              <w:t>0.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1423A">
              <w:rPr>
                <w:b/>
                <w:bCs/>
                <w:sz w:val="20"/>
                <w:szCs w:val="20"/>
              </w:rPr>
              <w:t>897</w:t>
            </w:r>
          </w:p>
        </w:tc>
      </w:tr>
    </w:tbl>
    <w:p w14:paraId="6B681020" w14:textId="77777777" w:rsidR="00477598" w:rsidRPr="00A2429E" w:rsidRDefault="00477598" w:rsidP="00477598">
      <w:pPr>
        <w:jc w:val="both"/>
        <w:rPr>
          <w:highlight w:val="yellow"/>
        </w:rPr>
      </w:pPr>
    </w:p>
    <w:p w14:paraId="123F7E4F" w14:textId="77777777" w:rsidR="00477598" w:rsidRDefault="00477598" w:rsidP="00477598">
      <w:pPr>
        <w:jc w:val="both"/>
      </w:pPr>
      <w:r w:rsidRPr="00822C00">
        <w:rPr>
          <w:b/>
        </w:rPr>
        <w:lastRenderedPageBreak/>
        <w:t>AOP 360</w:t>
      </w:r>
      <w:r w:rsidR="00A00005">
        <w:t xml:space="preserve"> </w:t>
      </w:r>
      <w:r w:rsidR="00A00005">
        <w:tab/>
      </w:r>
      <w:r w:rsidRPr="00822C00">
        <w:t xml:space="preserve"> </w:t>
      </w:r>
      <w:r>
        <w:t>Smanjenje ovog AOP-a proizlazi uslijed završetka projekata Stara pekara i S.O.S. unutar kojih su se u 2019. godini opremali Hostel i secesijska memorijalna soba.</w:t>
      </w:r>
      <w:r w:rsidR="0071423A">
        <w:t xml:space="preserve"> Kod proračunskih korisnika povećanja u okviru ovih rashoda vezana su za opremanje učionica, nabavu računala i dr.</w:t>
      </w:r>
    </w:p>
    <w:p w14:paraId="28DD58B8" w14:textId="77777777" w:rsidR="00477598" w:rsidRDefault="00477598" w:rsidP="00477598">
      <w:pPr>
        <w:jc w:val="both"/>
      </w:pPr>
    </w:p>
    <w:p w14:paraId="4EA15147" w14:textId="77777777" w:rsidR="00477598" w:rsidRPr="008B12DE" w:rsidRDefault="00477598" w:rsidP="00477598">
      <w:pPr>
        <w:jc w:val="both"/>
      </w:pPr>
      <w:r w:rsidRPr="00F05366">
        <w:rPr>
          <w:b/>
        </w:rPr>
        <w:t>AOP 393</w:t>
      </w:r>
      <w:r w:rsidR="00A00005">
        <w:t xml:space="preserve"> </w:t>
      </w:r>
      <w:r w:rsidR="00A00005">
        <w:tab/>
      </w:r>
      <w:r>
        <w:t xml:space="preserve">Rashodi za dodatna ulaganja na nefinancijskoj imovini u 2020. godini iznose </w:t>
      </w:r>
      <w:r w:rsidR="0071423A">
        <w:t xml:space="preserve">21.686.132 kn od čega su rashodi Grada Osijeka </w:t>
      </w:r>
      <w:r>
        <w:t>21.513.932 kn</w:t>
      </w:r>
      <w:r w:rsidR="0071423A">
        <w:t xml:space="preserve"> a proračunskih korisnika 172.200 kn. F</w:t>
      </w:r>
      <w:r>
        <w:t>inancijski najznačajniji su vezani za Industrijsku zonu Nemetin u iznosu  13.203.126 kn, izgradnju i rekonstrukciju sportskih objekata u iznosu 3.286.847 kn i održavanja nerazvrstanih cesta, mostova, pješačkih i biciklističkih staza u iznosu 3.093.875 kn.</w:t>
      </w:r>
    </w:p>
    <w:p w14:paraId="1DB7E0BE" w14:textId="77777777" w:rsidR="00A73C9E" w:rsidRPr="00DF0295" w:rsidRDefault="00A73C9E" w:rsidP="00E341F2">
      <w:pPr>
        <w:ind w:firstLine="708"/>
        <w:rPr>
          <w:b/>
          <w:highlight w:val="yellow"/>
        </w:rPr>
      </w:pPr>
    </w:p>
    <w:p w14:paraId="3235AB98" w14:textId="77777777" w:rsidR="007E7FA8" w:rsidRDefault="007E7FA8" w:rsidP="00126753">
      <w:pPr>
        <w:ind w:firstLine="708"/>
        <w:jc w:val="both"/>
        <w:rPr>
          <w:highlight w:val="yellow"/>
        </w:rPr>
      </w:pPr>
    </w:p>
    <w:p w14:paraId="5004C680" w14:textId="77777777" w:rsidR="00E40CE5" w:rsidRDefault="00E40CE5" w:rsidP="00687D61">
      <w:pPr>
        <w:rPr>
          <w:b/>
          <w:highlight w:val="yellow"/>
        </w:rPr>
      </w:pPr>
    </w:p>
    <w:p w14:paraId="624005FF" w14:textId="77777777" w:rsidR="00E40CE5" w:rsidRPr="00DF0295" w:rsidRDefault="00E40CE5" w:rsidP="00687D61">
      <w:pPr>
        <w:rPr>
          <w:b/>
          <w:highlight w:val="yellow"/>
        </w:rPr>
      </w:pPr>
    </w:p>
    <w:p w14:paraId="4D32FE3F" w14:textId="77777777" w:rsidR="00687D61" w:rsidRPr="0000064C" w:rsidRDefault="00AA1F22" w:rsidP="00AA1F22">
      <w:pPr>
        <w:ind w:firstLine="708"/>
        <w:rPr>
          <w:b/>
        </w:rPr>
      </w:pPr>
      <w:r w:rsidRPr="0000064C">
        <w:rPr>
          <w:b/>
        </w:rPr>
        <w:t xml:space="preserve">Primici od financijske imovine i zaduživanja  </w:t>
      </w:r>
      <w:r w:rsidR="00A00005">
        <w:rPr>
          <w:b/>
        </w:rPr>
        <w:t xml:space="preserve">i </w:t>
      </w:r>
      <w:r w:rsidRPr="0000064C">
        <w:rPr>
          <w:b/>
        </w:rPr>
        <w:t>Izdaci za financijsku imovinu i otplate zajmova</w:t>
      </w:r>
    </w:p>
    <w:p w14:paraId="3850A555" w14:textId="77777777" w:rsidR="00AA1F22" w:rsidRPr="00477598" w:rsidRDefault="00AA1F22" w:rsidP="00AA1F22">
      <w:pPr>
        <w:ind w:firstLine="708"/>
        <w:rPr>
          <w:b/>
          <w:color w:val="FF0000"/>
        </w:rPr>
      </w:pPr>
    </w:p>
    <w:p w14:paraId="08E37DAE" w14:textId="77777777" w:rsidR="0000064C" w:rsidRPr="004B4353" w:rsidRDefault="00A00005" w:rsidP="0000064C">
      <w:pPr>
        <w:jc w:val="both"/>
      </w:pPr>
      <w:r>
        <w:rPr>
          <w:b/>
        </w:rPr>
        <w:t xml:space="preserve">AOP 410 </w:t>
      </w:r>
      <w:r>
        <w:rPr>
          <w:b/>
        </w:rPr>
        <w:tab/>
      </w:r>
      <w:r w:rsidR="0000064C" w:rsidRPr="004B4353">
        <w:t xml:space="preserve"> Primici od financijske imovine i zaduživanja </w:t>
      </w:r>
      <w:r w:rsidR="0000064C">
        <w:t>ostvareni su s</w:t>
      </w:r>
      <w:r w:rsidR="0000064C" w:rsidRPr="004B4353">
        <w:t xml:space="preserve"> 49.527.068 kn </w:t>
      </w:r>
      <w:r w:rsidR="0000064C">
        <w:t xml:space="preserve"> i odnose se na dugoročno zaduživanje Grada u 2018. u iznosu od 2.988.389 kn, dugoročno zaduživanje Grada u 2019. godini u iznosu 21.813.505 kn, dugoročno zaduživanje u 2020. godini u iznosu od 16.138.496 kn, zajam Ministarstva financija (povrat po godišnjoj prijavi) u iznosu od 5.204.168 kn, primljene zajmove od državnog proračuna u iznosu od 3.379.739 kn i primitak od prodaje dionica Karoline d.d. u iznosu od 2.771 kn.</w:t>
      </w:r>
    </w:p>
    <w:p w14:paraId="1A5940D9" w14:textId="77777777" w:rsidR="0000064C" w:rsidRDefault="0000064C" w:rsidP="0062270D">
      <w:pPr>
        <w:ind w:firstLine="708"/>
        <w:rPr>
          <w:color w:val="FF0000"/>
        </w:rPr>
      </w:pPr>
    </w:p>
    <w:p w14:paraId="6D1986FE" w14:textId="77777777" w:rsidR="00AA1F22" w:rsidRPr="0000064C" w:rsidRDefault="0000064C" w:rsidP="0062270D">
      <w:pPr>
        <w:ind w:firstLine="708"/>
      </w:pPr>
      <w:r w:rsidRPr="0000064C">
        <w:t>Ukupni</w:t>
      </w:r>
      <w:r w:rsidR="0062270D" w:rsidRPr="0000064C">
        <w:t xml:space="preserve"> izdaci </w:t>
      </w:r>
      <w:r w:rsidRPr="0000064C">
        <w:t>izvršeni su u svoti od</w:t>
      </w:r>
      <w:r w:rsidR="0062270D" w:rsidRPr="0000064C">
        <w:t xml:space="preserve"> </w:t>
      </w:r>
      <w:r w:rsidRPr="0000064C">
        <w:t>20</w:t>
      </w:r>
      <w:r w:rsidR="0062270D" w:rsidRPr="0000064C">
        <w:t>.</w:t>
      </w:r>
      <w:r w:rsidRPr="0000064C">
        <w:t>740</w:t>
      </w:r>
      <w:r w:rsidR="0062270D" w:rsidRPr="0000064C">
        <w:t>.</w:t>
      </w:r>
      <w:r w:rsidRPr="0000064C">
        <w:t>591</w:t>
      </w:r>
      <w:r w:rsidR="0062270D" w:rsidRPr="0000064C">
        <w:t xml:space="preserve"> kn. Pregled Grada i korisnika u nastavku:</w:t>
      </w:r>
    </w:p>
    <w:p w14:paraId="075CA707" w14:textId="77777777" w:rsidR="00AA1F22" w:rsidRPr="00477598" w:rsidRDefault="00AA1F22" w:rsidP="00AA1F22">
      <w:pPr>
        <w:ind w:firstLine="708"/>
        <w:rPr>
          <w:b/>
          <w:color w:val="FF0000"/>
          <w:highlight w:val="yellow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6034"/>
        <w:gridCol w:w="1794"/>
        <w:gridCol w:w="1794"/>
      </w:tblGrid>
      <w:tr w:rsidR="00AB75FF" w:rsidRPr="00477598" w14:paraId="5BE03435" w14:textId="77777777" w:rsidTr="0000064C">
        <w:trPr>
          <w:trHeight w:val="315"/>
        </w:trPr>
        <w:tc>
          <w:tcPr>
            <w:tcW w:w="31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68A0" w14:textId="77777777" w:rsidR="00AB75FF" w:rsidRPr="0000064C" w:rsidRDefault="00AB75FF" w:rsidP="00AB75FF">
            <w:pPr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Razred 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3A74A0" w14:textId="77777777" w:rsidR="00AB75FF" w:rsidRPr="0000064C" w:rsidRDefault="00AB75FF" w:rsidP="0000064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201</w:t>
            </w:r>
            <w:r w:rsidR="0000064C" w:rsidRPr="0000064C">
              <w:rPr>
                <w:rFonts w:ascii="Calibri" w:hAnsi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99084C" w14:textId="77777777" w:rsidR="00AB75FF" w:rsidRPr="0000064C" w:rsidRDefault="00AB75FF" w:rsidP="0000064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00064C" w:rsidRPr="0000064C">
              <w:rPr>
                <w:rFonts w:ascii="Calibri" w:hAnsi="Calibri"/>
                <w:b/>
                <w:bCs/>
                <w:sz w:val="22"/>
                <w:szCs w:val="22"/>
              </w:rPr>
              <w:t>20.</w:t>
            </w:r>
          </w:p>
        </w:tc>
      </w:tr>
      <w:tr w:rsidR="0000064C" w:rsidRPr="00477598" w14:paraId="1B09E248" w14:textId="77777777" w:rsidTr="0000064C">
        <w:trPr>
          <w:trHeight w:val="30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C4F9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Grad Osijek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457A2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59.982.444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86CB" w14:textId="77777777" w:rsidR="0000064C" w:rsidRPr="0000064C" w:rsidRDefault="0000064C" w:rsidP="0000064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49.527.068</w:t>
            </w:r>
          </w:p>
        </w:tc>
      </w:tr>
      <w:tr w:rsidR="00AB75FF" w:rsidRPr="00477598" w14:paraId="4153D71C" w14:textId="77777777" w:rsidTr="0000064C">
        <w:trPr>
          <w:trHeight w:val="30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9C8A" w14:textId="77777777" w:rsidR="00AB75FF" w:rsidRPr="0000064C" w:rsidRDefault="00AB75FF" w:rsidP="00AB7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43B0E" w14:textId="77777777" w:rsidR="00AB75FF" w:rsidRPr="0000064C" w:rsidRDefault="00AB75FF" w:rsidP="00AB75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4CDF" w14:textId="77777777" w:rsidR="00AB75FF" w:rsidRPr="0000064C" w:rsidRDefault="00AB75FF" w:rsidP="00AB75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0064C" w:rsidRPr="00477598" w14:paraId="4FD938B4" w14:textId="77777777" w:rsidTr="0000064C">
        <w:trPr>
          <w:trHeight w:val="315"/>
        </w:trPr>
        <w:tc>
          <w:tcPr>
            <w:tcW w:w="313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702DAE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12954441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59.982.444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3683581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49.527.068</w:t>
            </w:r>
          </w:p>
        </w:tc>
      </w:tr>
      <w:tr w:rsidR="00AB75FF" w:rsidRPr="00477598" w14:paraId="7C206BCE" w14:textId="77777777" w:rsidTr="0000064C">
        <w:trPr>
          <w:trHeight w:val="315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3CFC" w14:textId="77777777" w:rsidR="00AB75FF" w:rsidRPr="0000064C" w:rsidRDefault="00AB75FF" w:rsidP="00AB75FF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D8975" w14:textId="77777777" w:rsidR="00AB75FF" w:rsidRPr="0000064C" w:rsidRDefault="00AB75FF" w:rsidP="00AB75FF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1549" w14:textId="77777777" w:rsidR="00AB75FF" w:rsidRPr="0000064C" w:rsidRDefault="00AB75FF" w:rsidP="00AB75FF">
            <w:pPr>
              <w:rPr>
                <w:sz w:val="20"/>
                <w:szCs w:val="20"/>
                <w:highlight w:val="yellow"/>
              </w:rPr>
            </w:pPr>
          </w:p>
        </w:tc>
      </w:tr>
      <w:tr w:rsidR="00AB75FF" w:rsidRPr="00477598" w14:paraId="63431C06" w14:textId="77777777" w:rsidTr="0000064C">
        <w:trPr>
          <w:trHeight w:val="315"/>
        </w:trPr>
        <w:tc>
          <w:tcPr>
            <w:tcW w:w="31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4B952" w14:textId="77777777" w:rsidR="00AB75FF" w:rsidRPr="0000064C" w:rsidRDefault="00AB75FF" w:rsidP="00AB7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Razred 5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D63F74" w14:textId="77777777" w:rsidR="00AB75FF" w:rsidRPr="0000064C" w:rsidRDefault="00AB75FF" w:rsidP="0000064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201</w:t>
            </w:r>
            <w:r w:rsidR="0000064C" w:rsidRPr="0000064C">
              <w:rPr>
                <w:rFonts w:ascii="Calibri" w:hAnsi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4D159D" w14:textId="77777777" w:rsidR="00AB75FF" w:rsidRPr="0000064C" w:rsidRDefault="006F07F4" w:rsidP="0000064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00064C" w:rsidRPr="0000064C">
              <w:rPr>
                <w:rFonts w:ascii="Calibri" w:hAnsi="Calibri"/>
                <w:b/>
                <w:bCs/>
                <w:sz w:val="22"/>
                <w:szCs w:val="22"/>
              </w:rPr>
              <w:t>20.</w:t>
            </w:r>
          </w:p>
        </w:tc>
      </w:tr>
      <w:tr w:rsidR="0000064C" w:rsidRPr="00477598" w14:paraId="550F925A" w14:textId="77777777" w:rsidTr="0000064C">
        <w:trPr>
          <w:trHeight w:val="30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F2EA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Grad Osijek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1C197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17.271.283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9BBE" w14:textId="77777777" w:rsidR="0000064C" w:rsidRPr="0000064C" w:rsidRDefault="0000064C" w:rsidP="00AB7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20.711.091</w:t>
            </w:r>
          </w:p>
        </w:tc>
      </w:tr>
      <w:tr w:rsidR="0000064C" w:rsidRPr="00477598" w14:paraId="624939BD" w14:textId="77777777" w:rsidTr="0000064C">
        <w:trPr>
          <w:trHeight w:val="30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67BA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Dječji vrtić Osijek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2D07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756.349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32F1" w14:textId="77777777" w:rsidR="0000064C" w:rsidRPr="0000064C" w:rsidRDefault="0000064C" w:rsidP="00AB7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064C" w:rsidRPr="00477598" w14:paraId="73293842" w14:textId="77777777" w:rsidTr="0000064C">
        <w:trPr>
          <w:trHeight w:val="30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00F8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OŠ Višnjevac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706DB" w14:textId="77777777" w:rsidR="0000064C" w:rsidRPr="0000064C" w:rsidRDefault="0000064C" w:rsidP="00D9736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0064C">
              <w:rPr>
                <w:rFonts w:ascii="Calibri" w:hAnsi="Calibri"/>
                <w:sz w:val="22"/>
                <w:szCs w:val="22"/>
              </w:rPr>
              <w:t>25.446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D474" w14:textId="77777777" w:rsidR="0000064C" w:rsidRPr="0000064C" w:rsidRDefault="0000064C" w:rsidP="00AB75F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29.500</w:t>
            </w:r>
          </w:p>
        </w:tc>
      </w:tr>
      <w:tr w:rsidR="0000064C" w:rsidRPr="00477598" w14:paraId="062F4AA7" w14:textId="77777777" w:rsidTr="0000064C">
        <w:trPr>
          <w:trHeight w:val="315"/>
        </w:trPr>
        <w:tc>
          <w:tcPr>
            <w:tcW w:w="313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3F2E" w14:textId="77777777" w:rsidR="0000064C" w:rsidRPr="0000064C" w:rsidRDefault="0000064C" w:rsidP="00AB75FF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7A647D48" w14:textId="77777777" w:rsidR="0000064C" w:rsidRPr="0000064C" w:rsidRDefault="0000064C" w:rsidP="00D9736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t>18.053.078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C272E7C" w14:textId="77777777" w:rsidR="0000064C" w:rsidRPr="0000064C" w:rsidRDefault="0000064C" w:rsidP="0000064C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fldChar w:fldCharType="begin"/>
            </w: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=SUM(ABOVE) </w:instrText>
            </w: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00064C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20.74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0</w:t>
            </w:r>
            <w:r w:rsidRPr="0000064C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.</w:t>
            </w:r>
            <w:r w:rsidRPr="0000064C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591</w:t>
            </w:r>
          </w:p>
        </w:tc>
      </w:tr>
    </w:tbl>
    <w:p w14:paraId="5F4FA908" w14:textId="77777777" w:rsidR="00687D61" w:rsidRPr="00477598" w:rsidRDefault="00687D61" w:rsidP="00687D61">
      <w:pPr>
        <w:rPr>
          <w:b/>
          <w:color w:val="FF0000"/>
          <w:highlight w:val="yellow"/>
        </w:rPr>
      </w:pPr>
    </w:p>
    <w:p w14:paraId="0E1472DF" w14:textId="77777777" w:rsidR="00B020EC" w:rsidRPr="00F73844" w:rsidRDefault="0062270D" w:rsidP="0062270D">
      <w:pPr>
        <w:tabs>
          <w:tab w:val="left" w:pos="3424"/>
        </w:tabs>
        <w:ind w:firstLine="851"/>
        <w:jc w:val="both"/>
      </w:pPr>
      <w:r w:rsidRPr="00F73844">
        <w:t xml:space="preserve">U okviru </w:t>
      </w:r>
      <w:r w:rsidR="0000064C" w:rsidRPr="00F73844">
        <w:t>izdataka za financijsku imovinu i otplate zajmova iskazan</w:t>
      </w:r>
      <w:r w:rsidR="00F73844" w:rsidRPr="00F73844">
        <w:t xml:space="preserve"> </w:t>
      </w:r>
      <w:r w:rsidR="0000064C" w:rsidRPr="00F73844">
        <w:t>je iznos</w:t>
      </w:r>
      <w:r w:rsidR="00F73844" w:rsidRPr="00F73844">
        <w:t xml:space="preserve"> od</w:t>
      </w:r>
      <w:r w:rsidR="0000064C" w:rsidRPr="00F73844">
        <w:t xml:space="preserve"> 60.000,00 kn </w:t>
      </w:r>
      <w:r w:rsidR="00F73844" w:rsidRPr="00F73844">
        <w:t>u svrhu povećanja temeljenog kapitala za društvo Obnovljivi izvori energije.</w:t>
      </w:r>
      <w:r w:rsidRPr="00F73844">
        <w:t xml:space="preserve"> </w:t>
      </w:r>
    </w:p>
    <w:p w14:paraId="41879C1E" w14:textId="77777777" w:rsidR="00F73844" w:rsidRPr="00F73844" w:rsidRDefault="00F73844" w:rsidP="00F73844">
      <w:pPr>
        <w:pStyle w:val="Tijeloteksta-uvlaka2"/>
        <w:spacing w:after="0" w:line="240" w:lineRule="auto"/>
        <w:ind w:left="284" w:firstLine="567"/>
        <w:jc w:val="both"/>
      </w:pPr>
    </w:p>
    <w:p w14:paraId="0A7D1334" w14:textId="77777777" w:rsidR="003C5334" w:rsidRPr="00F73844" w:rsidRDefault="00B020EC" w:rsidP="00F73844">
      <w:pPr>
        <w:pStyle w:val="Tijeloteksta-uvlaka2"/>
        <w:spacing w:after="0" w:line="240" w:lineRule="auto"/>
        <w:ind w:left="284" w:firstLine="567"/>
        <w:jc w:val="both"/>
      </w:pPr>
      <w:r w:rsidRPr="00F73844">
        <w:t>U 20</w:t>
      </w:r>
      <w:r w:rsidR="00F73844" w:rsidRPr="00F73844">
        <w:t>20</w:t>
      </w:r>
      <w:r w:rsidRPr="00F73844">
        <w:t>. Grad Osijek se kreditno zadužio za investicije iz proračuna kod poslovne banke</w:t>
      </w:r>
      <w:r w:rsidR="00F73844" w:rsidRPr="00F73844">
        <w:t xml:space="preserve"> pod sljedećim uvjetima:</w:t>
      </w:r>
      <w:r w:rsidR="0005203F" w:rsidRPr="00F73844"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560"/>
        <w:gridCol w:w="1701"/>
        <w:gridCol w:w="1701"/>
      </w:tblGrid>
      <w:tr w:rsidR="00F73844" w:rsidRPr="00F73844" w14:paraId="29564CA9" w14:textId="77777777" w:rsidTr="003C5334">
        <w:tc>
          <w:tcPr>
            <w:tcW w:w="2943" w:type="dxa"/>
            <w:shd w:val="clear" w:color="auto" w:fill="auto"/>
          </w:tcPr>
          <w:p w14:paraId="7B565F5E" w14:textId="77777777" w:rsidR="00B020EC" w:rsidRPr="00F73844" w:rsidRDefault="00B020EC" w:rsidP="00B020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73844">
              <w:rPr>
                <w:rFonts w:asciiTheme="minorHAnsi" w:hAnsiTheme="minorHAnsi"/>
                <w:b/>
                <w:sz w:val="22"/>
                <w:szCs w:val="22"/>
              </w:rPr>
              <w:t>Kreditor</w:t>
            </w:r>
          </w:p>
        </w:tc>
        <w:tc>
          <w:tcPr>
            <w:tcW w:w="1701" w:type="dxa"/>
            <w:shd w:val="clear" w:color="auto" w:fill="auto"/>
          </w:tcPr>
          <w:p w14:paraId="3B95A32B" w14:textId="77777777" w:rsidR="00B020EC" w:rsidRPr="00F73844" w:rsidRDefault="00B020EC" w:rsidP="00B020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73844">
              <w:rPr>
                <w:rFonts w:asciiTheme="minorHAnsi" w:hAnsiTheme="minorHAnsi"/>
                <w:b/>
                <w:sz w:val="22"/>
                <w:szCs w:val="22"/>
              </w:rPr>
              <w:t>Iznos kredita (kn)</w:t>
            </w:r>
          </w:p>
        </w:tc>
        <w:tc>
          <w:tcPr>
            <w:tcW w:w="1560" w:type="dxa"/>
            <w:shd w:val="clear" w:color="auto" w:fill="auto"/>
          </w:tcPr>
          <w:p w14:paraId="76A17293" w14:textId="77777777" w:rsidR="00B020EC" w:rsidRPr="00F73844" w:rsidRDefault="00B020EC" w:rsidP="00B020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73844">
              <w:rPr>
                <w:rFonts w:asciiTheme="minorHAnsi" w:hAnsiTheme="minorHAnsi"/>
                <w:b/>
                <w:sz w:val="22"/>
                <w:szCs w:val="22"/>
              </w:rPr>
              <w:t>Rok trajanja otplate</w:t>
            </w:r>
          </w:p>
        </w:tc>
        <w:tc>
          <w:tcPr>
            <w:tcW w:w="1701" w:type="dxa"/>
            <w:shd w:val="clear" w:color="auto" w:fill="auto"/>
          </w:tcPr>
          <w:p w14:paraId="2AB555F5" w14:textId="77777777" w:rsidR="00B020EC" w:rsidRPr="00F73844" w:rsidRDefault="00B020EC" w:rsidP="00B020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73844">
              <w:rPr>
                <w:rFonts w:asciiTheme="minorHAnsi" w:hAnsiTheme="minorHAnsi"/>
                <w:b/>
                <w:sz w:val="22"/>
                <w:szCs w:val="22"/>
              </w:rPr>
              <w:t>Nominalna kamatna stopa</w:t>
            </w:r>
          </w:p>
        </w:tc>
        <w:tc>
          <w:tcPr>
            <w:tcW w:w="1701" w:type="dxa"/>
            <w:shd w:val="clear" w:color="auto" w:fill="auto"/>
          </w:tcPr>
          <w:p w14:paraId="09AF68DB" w14:textId="77777777" w:rsidR="00B020EC" w:rsidRPr="00F73844" w:rsidRDefault="00B020EC" w:rsidP="00B020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73844">
              <w:rPr>
                <w:rFonts w:asciiTheme="minorHAnsi" w:hAnsiTheme="minorHAnsi"/>
                <w:b/>
                <w:sz w:val="22"/>
                <w:szCs w:val="22"/>
              </w:rPr>
              <w:t>Efektivna kamatna stopa</w:t>
            </w:r>
          </w:p>
        </w:tc>
      </w:tr>
      <w:tr w:rsidR="00F73844" w:rsidRPr="00F73844" w14:paraId="1FD7C983" w14:textId="77777777" w:rsidTr="003C5334">
        <w:tc>
          <w:tcPr>
            <w:tcW w:w="2943" w:type="dxa"/>
            <w:shd w:val="clear" w:color="auto" w:fill="auto"/>
          </w:tcPr>
          <w:p w14:paraId="6EC7C496" w14:textId="77777777" w:rsidR="00B020EC" w:rsidRPr="00F73844" w:rsidRDefault="00B020EC" w:rsidP="00B020EC">
            <w:pPr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Zagrebačka banka d.d. Zagreb</w:t>
            </w:r>
          </w:p>
        </w:tc>
        <w:tc>
          <w:tcPr>
            <w:tcW w:w="1701" w:type="dxa"/>
            <w:shd w:val="clear" w:color="auto" w:fill="auto"/>
          </w:tcPr>
          <w:p w14:paraId="00CD9C7E" w14:textId="77777777" w:rsidR="00B020EC" w:rsidRPr="00F73844" w:rsidRDefault="00F73844" w:rsidP="00F7384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58</w:t>
            </w:r>
            <w:r w:rsidR="007F4748" w:rsidRPr="00F73844">
              <w:rPr>
                <w:rFonts w:asciiTheme="minorHAnsi" w:hAnsiTheme="minorHAnsi"/>
                <w:sz w:val="22"/>
                <w:szCs w:val="22"/>
              </w:rPr>
              <w:t>.</w:t>
            </w:r>
            <w:r w:rsidRPr="00F73844">
              <w:rPr>
                <w:rFonts w:asciiTheme="minorHAnsi" w:hAnsiTheme="minorHAnsi"/>
                <w:sz w:val="22"/>
                <w:szCs w:val="22"/>
              </w:rPr>
              <w:t>5</w:t>
            </w:r>
            <w:r w:rsidR="007F4748" w:rsidRPr="00F73844">
              <w:rPr>
                <w:rFonts w:asciiTheme="minorHAnsi" w:hAnsiTheme="minorHAnsi"/>
                <w:sz w:val="22"/>
                <w:szCs w:val="22"/>
              </w:rPr>
              <w:t>00.000</w:t>
            </w:r>
          </w:p>
        </w:tc>
        <w:tc>
          <w:tcPr>
            <w:tcW w:w="1560" w:type="dxa"/>
            <w:shd w:val="clear" w:color="auto" w:fill="auto"/>
          </w:tcPr>
          <w:p w14:paraId="6AF933C3" w14:textId="77777777" w:rsidR="00B020EC" w:rsidRPr="00F73844" w:rsidRDefault="00F73844" w:rsidP="00B020E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1</w:t>
            </w:r>
            <w:r w:rsidR="007F4748" w:rsidRPr="00F73844">
              <w:rPr>
                <w:rFonts w:asciiTheme="minorHAnsi" w:hAnsiTheme="minorHAnsi"/>
                <w:sz w:val="22"/>
                <w:szCs w:val="22"/>
              </w:rPr>
              <w:t>5</w:t>
            </w:r>
            <w:r w:rsidR="00B020EC" w:rsidRPr="00F73844">
              <w:rPr>
                <w:rFonts w:asciiTheme="minorHAnsi" w:hAnsiTheme="minorHAnsi"/>
                <w:sz w:val="22"/>
                <w:szCs w:val="22"/>
              </w:rPr>
              <w:t xml:space="preserve"> godina</w:t>
            </w:r>
          </w:p>
        </w:tc>
        <w:tc>
          <w:tcPr>
            <w:tcW w:w="1701" w:type="dxa"/>
            <w:shd w:val="clear" w:color="auto" w:fill="auto"/>
          </w:tcPr>
          <w:p w14:paraId="75439D33" w14:textId="77777777" w:rsidR="00B020EC" w:rsidRPr="00F73844" w:rsidRDefault="003F507D" w:rsidP="003F50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F4748" w:rsidRPr="00F73844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3DF29F58" w14:textId="77777777" w:rsidR="00B020EC" w:rsidRPr="00F73844" w:rsidRDefault="003F507D" w:rsidP="003F50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F4748" w:rsidRPr="00F73844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F73844" w:rsidRPr="00F73844" w14:paraId="524B1189" w14:textId="77777777" w:rsidTr="003C5334">
        <w:tc>
          <w:tcPr>
            <w:tcW w:w="2943" w:type="dxa"/>
            <w:shd w:val="clear" w:color="auto" w:fill="auto"/>
          </w:tcPr>
          <w:p w14:paraId="345A7890" w14:textId="77777777" w:rsidR="00F73844" w:rsidRPr="00F73844" w:rsidRDefault="00F73844" w:rsidP="00D97366">
            <w:pPr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lastRenderedPageBreak/>
              <w:t>Zagrebačka banka d.d. Zagreb</w:t>
            </w:r>
          </w:p>
        </w:tc>
        <w:tc>
          <w:tcPr>
            <w:tcW w:w="1701" w:type="dxa"/>
            <w:shd w:val="clear" w:color="auto" w:fill="auto"/>
          </w:tcPr>
          <w:p w14:paraId="0DCFFB37" w14:textId="77777777" w:rsidR="00F73844" w:rsidRPr="00F73844" w:rsidRDefault="00F73844" w:rsidP="00F7384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33.000.000</w:t>
            </w:r>
          </w:p>
        </w:tc>
        <w:tc>
          <w:tcPr>
            <w:tcW w:w="1560" w:type="dxa"/>
            <w:shd w:val="clear" w:color="auto" w:fill="auto"/>
          </w:tcPr>
          <w:p w14:paraId="7EE52AB8" w14:textId="77777777" w:rsidR="00F73844" w:rsidRPr="00F73844" w:rsidRDefault="00F73844" w:rsidP="00B020E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15 godina</w:t>
            </w:r>
          </w:p>
        </w:tc>
        <w:tc>
          <w:tcPr>
            <w:tcW w:w="1701" w:type="dxa"/>
            <w:shd w:val="clear" w:color="auto" w:fill="auto"/>
          </w:tcPr>
          <w:p w14:paraId="38A4C875" w14:textId="77777777" w:rsidR="00F73844" w:rsidRPr="00F73844" w:rsidRDefault="00F73844" w:rsidP="003F50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1,</w:t>
            </w:r>
            <w:r w:rsidR="003F507D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24AB14D6" w14:textId="77777777" w:rsidR="00F73844" w:rsidRPr="00F73844" w:rsidRDefault="00F73844" w:rsidP="003F50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F73844">
              <w:rPr>
                <w:rFonts w:asciiTheme="minorHAnsi" w:hAnsiTheme="minorHAnsi"/>
                <w:sz w:val="22"/>
                <w:szCs w:val="22"/>
              </w:rPr>
              <w:t>1,</w:t>
            </w:r>
            <w:r w:rsidR="003F507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</w:tr>
    </w:tbl>
    <w:p w14:paraId="24EC8CAA" w14:textId="77777777" w:rsidR="003C5334" w:rsidRPr="00F73844" w:rsidRDefault="003C5334" w:rsidP="003C5334">
      <w:pPr>
        <w:pStyle w:val="Tijeloteksta-uvlaka2"/>
        <w:spacing w:after="0" w:line="240" w:lineRule="auto"/>
        <w:ind w:left="0" w:firstLine="708"/>
        <w:jc w:val="both"/>
        <w:rPr>
          <w:highlight w:val="yellow"/>
        </w:rPr>
      </w:pPr>
    </w:p>
    <w:p w14:paraId="21DD0BB5" w14:textId="77777777" w:rsidR="00B020EC" w:rsidRPr="00477598" w:rsidRDefault="00BD7374" w:rsidP="00BD7374">
      <w:pPr>
        <w:pStyle w:val="Tijeloteksta-uvlaka2"/>
        <w:spacing w:after="0" w:line="240" w:lineRule="auto"/>
        <w:ind w:left="0" w:firstLine="708"/>
        <w:jc w:val="both"/>
        <w:rPr>
          <w:color w:val="FF0000"/>
          <w:highlight w:val="yellow"/>
        </w:rPr>
      </w:pPr>
      <w:r>
        <w:t>Detaljnije o kreditima Grada Osijeka u bilješkama uz Bilancu.</w:t>
      </w:r>
      <w:r w:rsidRPr="00477598">
        <w:rPr>
          <w:color w:val="FF0000"/>
          <w:highlight w:val="yellow"/>
        </w:rPr>
        <w:t xml:space="preserve"> </w:t>
      </w:r>
    </w:p>
    <w:p w14:paraId="3816F034" w14:textId="77777777" w:rsidR="00B020EC" w:rsidRPr="00477598" w:rsidRDefault="00B020EC" w:rsidP="00B020EC">
      <w:pPr>
        <w:jc w:val="both"/>
        <w:rPr>
          <w:color w:val="FF0000"/>
          <w:highlight w:val="yellow"/>
        </w:rPr>
      </w:pPr>
    </w:p>
    <w:p w14:paraId="6309BF60" w14:textId="77777777" w:rsidR="00560DA1" w:rsidRPr="003F507D" w:rsidRDefault="00A00005" w:rsidP="00A00005">
      <w:pPr>
        <w:jc w:val="both"/>
      </w:pPr>
      <w:r>
        <w:t>AOP 603</w:t>
      </w:r>
      <w:r>
        <w:tab/>
        <w:t>I</w:t>
      </w:r>
      <w:r w:rsidR="00E43231" w:rsidRPr="003F507D">
        <w:t>skazani iznos</w:t>
      </w:r>
      <w:r w:rsidR="00560DA1" w:rsidRPr="003F507D">
        <w:t xml:space="preserve"> odnosi se na financijski leasing za nabavu kombi vozila za OŠ Višnjevac.</w:t>
      </w:r>
      <w:r w:rsidR="006B0E21" w:rsidRPr="003F507D">
        <w:t xml:space="preserve"> Obveze na dan 31.12.20</w:t>
      </w:r>
      <w:r w:rsidR="003F507D" w:rsidRPr="003F507D">
        <w:t>20</w:t>
      </w:r>
      <w:r w:rsidR="006B0E21" w:rsidRPr="003F507D">
        <w:t xml:space="preserve">. za financijski leasing iznose </w:t>
      </w:r>
      <w:r w:rsidR="003F507D" w:rsidRPr="003F507D">
        <w:t>88</w:t>
      </w:r>
      <w:r w:rsidR="006B0E21" w:rsidRPr="003F507D">
        <w:t>.</w:t>
      </w:r>
      <w:r w:rsidR="003F507D" w:rsidRPr="003F507D">
        <w:t>625</w:t>
      </w:r>
      <w:r w:rsidR="006B0E21" w:rsidRPr="003F507D">
        <w:t xml:space="preserve"> kn.</w:t>
      </w:r>
      <w:r w:rsidR="0005203F" w:rsidRPr="003F507D">
        <w:t xml:space="preserve"> </w:t>
      </w:r>
    </w:p>
    <w:p w14:paraId="07FFA078" w14:textId="77777777" w:rsidR="00B020EC" w:rsidRPr="003F507D" w:rsidRDefault="00B020EC" w:rsidP="00B020EC">
      <w:pPr>
        <w:jc w:val="both"/>
      </w:pPr>
    </w:p>
    <w:p w14:paraId="74BBBFDB" w14:textId="77777777" w:rsidR="00B020EC" w:rsidRPr="00477598" w:rsidRDefault="00B020EC" w:rsidP="0062270D">
      <w:pPr>
        <w:tabs>
          <w:tab w:val="left" w:pos="3424"/>
        </w:tabs>
        <w:ind w:firstLine="851"/>
        <w:jc w:val="both"/>
        <w:rPr>
          <w:color w:val="FF0000"/>
          <w:highlight w:val="yellow"/>
        </w:rPr>
      </w:pPr>
    </w:p>
    <w:p w14:paraId="61BC3176" w14:textId="77777777" w:rsidR="00B020EC" w:rsidRPr="00477598" w:rsidRDefault="00B020EC" w:rsidP="0062270D">
      <w:pPr>
        <w:tabs>
          <w:tab w:val="left" w:pos="3424"/>
        </w:tabs>
        <w:ind w:firstLine="851"/>
        <w:jc w:val="both"/>
        <w:rPr>
          <w:color w:val="FF0000"/>
          <w:highlight w:val="yellow"/>
        </w:rPr>
      </w:pPr>
    </w:p>
    <w:p w14:paraId="0BC27448" w14:textId="77777777" w:rsidR="00B020EC" w:rsidRPr="00477598" w:rsidRDefault="00B020EC" w:rsidP="0062270D">
      <w:pPr>
        <w:tabs>
          <w:tab w:val="left" w:pos="3424"/>
        </w:tabs>
        <w:ind w:firstLine="851"/>
        <w:jc w:val="both"/>
        <w:rPr>
          <w:color w:val="FF0000"/>
          <w:highlight w:val="yellow"/>
        </w:rPr>
      </w:pPr>
    </w:p>
    <w:p w14:paraId="3DF39DA9" w14:textId="77777777" w:rsidR="0062270D" w:rsidRPr="00477598" w:rsidRDefault="0062270D" w:rsidP="007865E8">
      <w:pPr>
        <w:rPr>
          <w:b/>
          <w:color w:val="FF0000"/>
          <w:highlight w:val="yellow"/>
        </w:rPr>
      </w:pPr>
      <w:r w:rsidRPr="00477598">
        <w:rPr>
          <w:b/>
          <w:color w:val="FF0000"/>
          <w:highlight w:val="yellow"/>
        </w:rPr>
        <w:br w:type="page"/>
      </w:r>
    </w:p>
    <w:p w14:paraId="45F43C61" w14:textId="77777777" w:rsidR="00B471B5" w:rsidRPr="00D97366" w:rsidRDefault="00B471B5" w:rsidP="00B471B5">
      <w:pPr>
        <w:ind w:firstLine="851"/>
        <w:jc w:val="center"/>
        <w:rPr>
          <w:b/>
        </w:rPr>
      </w:pPr>
      <w:r w:rsidRPr="00D97366">
        <w:rPr>
          <w:b/>
        </w:rPr>
        <w:lastRenderedPageBreak/>
        <w:t>BILJEŠKE UZ BILANCU</w:t>
      </w:r>
    </w:p>
    <w:p w14:paraId="45BD22DD" w14:textId="77777777" w:rsidR="00B471B5" w:rsidRPr="00D97366" w:rsidRDefault="00B471B5" w:rsidP="00B471B5">
      <w:pPr>
        <w:jc w:val="center"/>
        <w:rPr>
          <w:b/>
          <w:bCs/>
          <w:iCs/>
          <w:highlight w:val="yellow"/>
        </w:rPr>
      </w:pPr>
    </w:p>
    <w:p w14:paraId="03EF5906" w14:textId="77777777" w:rsidR="00B471B5" w:rsidRPr="00C92E9A" w:rsidRDefault="00B471B5" w:rsidP="00B471B5">
      <w:pPr>
        <w:ind w:left="708"/>
        <w:jc w:val="both"/>
        <w:rPr>
          <w:color w:val="FF0000"/>
          <w:highlight w:val="yellow"/>
        </w:rPr>
      </w:pPr>
    </w:p>
    <w:p w14:paraId="1036DB67" w14:textId="77777777" w:rsidR="00B471B5" w:rsidRPr="00D97366" w:rsidRDefault="00B471B5" w:rsidP="00B471B5">
      <w:pPr>
        <w:ind w:firstLine="708"/>
        <w:jc w:val="both"/>
      </w:pPr>
      <w:r w:rsidRPr="00D97366">
        <w:t>Iz Konsolidirane Bilance Grada Osijeka na dan 31. prosinca 20</w:t>
      </w:r>
      <w:r w:rsidR="005223F2" w:rsidRPr="00D97366">
        <w:t>20</w:t>
      </w:r>
      <w:r w:rsidRPr="00D97366">
        <w:t>. vidljivo je povećanje imovine u odnosu na stanje 1. siječnja 20</w:t>
      </w:r>
      <w:r w:rsidR="005223F2" w:rsidRPr="00D97366">
        <w:t>20</w:t>
      </w:r>
      <w:r w:rsidRPr="00D97366">
        <w:t xml:space="preserve">. za </w:t>
      </w:r>
      <w:r w:rsidR="005223F2" w:rsidRPr="00D97366">
        <w:t>40</w:t>
      </w:r>
      <w:r w:rsidRPr="00D97366">
        <w:t>.</w:t>
      </w:r>
      <w:r w:rsidR="005223F2" w:rsidRPr="00D97366">
        <w:t>713</w:t>
      </w:r>
      <w:r w:rsidRPr="00D97366">
        <w:t>.</w:t>
      </w:r>
      <w:r w:rsidR="005223F2" w:rsidRPr="00D97366">
        <w:t>474</w:t>
      </w:r>
      <w:r w:rsidRPr="00D97366">
        <w:t xml:space="preserve"> kn</w:t>
      </w:r>
      <w:r w:rsidR="00D97366">
        <w:t xml:space="preserve"> ili 1,2%</w:t>
      </w:r>
      <w:r w:rsidRPr="00D97366">
        <w:t xml:space="preserve"> te ona iznosi 3.</w:t>
      </w:r>
      <w:r w:rsidR="005223F2" w:rsidRPr="00D97366">
        <w:t>305.334</w:t>
      </w:r>
      <w:r w:rsidRPr="00D97366">
        <w:t>.</w:t>
      </w:r>
      <w:r w:rsidR="005223F2" w:rsidRPr="00D97366">
        <w:t>735</w:t>
      </w:r>
      <w:r w:rsidRPr="00D97366">
        <w:t xml:space="preserve"> kn.</w:t>
      </w:r>
    </w:p>
    <w:p w14:paraId="238BB5F1" w14:textId="77777777" w:rsidR="00B471B5" w:rsidRPr="00D97366" w:rsidRDefault="00B471B5" w:rsidP="00B471B5">
      <w:pPr>
        <w:ind w:firstLine="708"/>
        <w:jc w:val="both"/>
      </w:pPr>
      <w:r w:rsidRPr="00D97366">
        <w:t xml:space="preserve">Na Grad Osijek odnosi se povećanje od </w:t>
      </w:r>
      <w:r w:rsidR="00D97366" w:rsidRPr="00D97366">
        <w:t xml:space="preserve">34.588.786 kn </w:t>
      </w:r>
      <w:r w:rsidRPr="00D97366">
        <w:t>a na proračunske korisnike Grada Osijeka 6.</w:t>
      </w:r>
      <w:r w:rsidR="00D97366" w:rsidRPr="00D97366">
        <w:t>124</w:t>
      </w:r>
      <w:r w:rsidRPr="00D97366">
        <w:t>.</w:t>
      </w:r>
      <w:r w:rsidR="00D97366" w:rsidRPr="00D97366">
        <w:t>688</w:t>
      </w:r>
      <w:r w:rsidRPr="00D97366">
        <w:t xml:space="preserve"> kn.</w:t>
      </w:r>
    </w:p>
    <w:p w14:paraId="41CFA8E1" w14:textId="77777777" w:rsidR="00B471B5" w:rsidRPr="00C92E9A" w:rsidRDefault="00B471B5" w:rsidP="00B471B5">
      <w:pPr>
        <w:ind w:firstLine="708"/>
        <w:jc w:val="both"/>
        <w:rPr>
          <w:color w:val="FF0000"/>
        </w:rPr>
      </w:pPr>
    </w:p>
    <w:p w14:paraId="568EA0C5" w14:textId="77777777" w:rsidR="00D97366" w:rsidRDefault="00B471B5" w:rsidP="00D97366">
      <w:pPr>
        <w:jc w:val="both"/>
      </w:pPr>
      <w:r w:rsidRPr="00D97366">
        <w:rPr>
          <w:b/>
        </w:rPr>
        <w:t>AOP 002</w:t>
      </w:r>
      <w:r w:rsidR="00D97366">
        <w:t xml:space="preserve"> </w:t>
      </w:r>
      <w:r w:rsidR="00D97366">
        <w:tab/>
      </w:r>
      <w:r w:rsidRPr="00D97366">
        <w:t xml:space="preserve"> Nefinancijska imovina iznosi 2.</w:t>
      </w:r>
      <w:r w:rsidR="00D97366" w:rsidRPr="00D97366">
        <w:t>654.229.160</w:t>
      </w:r>
      <w:r w:rsidRPr="00D97366">
        <w:t xml:space="preserve"> kn što je povećanje za </w:t>
      </w:r>
      <w:r w:rsidR="00D97366" w:rsidRPr="00D97366">
        <w:t>42</w:t>
      </w:r>
      <w:r w:rsidRPr="00D97366">
        <w:t>.</w:t>
      </w:r>
      <w:r w:rsidR="00D97366" w:rsidRPr="00D97366">
        <w:t>276</w:t>
      </w:r>
      <w:r w:rsidRPr="00D97366">
        <w:t>.</w:t>
      </w:r>
      <w:r w:rsidR="00D97366" w:rsidRPr="00D97366">
        <w:t>271</w:t>
      </w:r>
      <w:r w:rsidRPr="00D97366">
        <w:t xml:space="preserve"> kn</w:t>
      </w:r>
      <w:r w:rsidR="00D97366" w:rsidRPr="00D97366">
        <w:t xml:space="preserve"> ili 1,6%</w:t>
      </w:r>
      <w:r w:rsidRPr="00D97366">
        <w:t xml:space="preserve">. Navedeno povećanje odnosi se na Grad Osijek i iznosi </w:t>
      </w:r>
      <w:r w:rsidR="00D97366" w:rsidRPr="00D97366">
        <w:t>46.141.828 kn ili 1,9% u odnosu na stanje 01.01.2020. Kod proračunskih korisnika iskazano je smanjenje nefinancijske imovine u iznosu 3.865.557 kn i vezano je za ispravak vrijednosti imovine</w:t>
      </w:r>
      <w:r w:rsidR="00D97366">
        <w:t>.</w:t>
      </w:r>
    </w:p>
    <w:p w14:paraId="38BA8806" w14:textId="77777777" w:rsidR="00D97366" w:rsidRPr="00AC3462" w:rsidRDefault="00D97366" w:rsidP="00D97366">
      <w:pPr>
        <w:ind w:firstLine="851"/>
        <w:jc w:val="both"/>
      </w:pPr>
    </w:p>
    <w:p w14:paraId="67011B94" w14:textId="77777777" w:rsidR="00D97366" w:rsidRPr="00AC3462" w:rsidRDefault="00D97366" w:rsidP="00D97366">
      <w:pPr>
        <w:jc w:val="both"/>
      </w:pPr>
      <w:r w:rsidRPr="00DC7F29">
        <w:rPr>
          <w:b/>
        </w:rPr>
        <w:t>AOP 00</w:t>
      </w:r>
      <w:r>
        <w:rPr>
          <w:b/>
        </w:rPr>
        <w:t>3</w:t>
      </w:r>
      <w:r>
        <w:t xml:space="preserve">  </w:t>
      </w:r>
      <w:r>
        <w:tab/>
        <w:t>Najznačajnija bilančna promjena u okviru ovoga AOP-a vezana je za uknjižbu građevinskog zemljišta koje do sada nije bilo iskazano u poslovnim knjigama Grada odnosno usklađenje vrijednosti s prodajnom cijenom u iznosu 3.292.588 kn te isknjiženje temeljem izvršene prodaje zemljišta u iznosu 3.690.159 kn.</w:t>
      </w:r>
    </w:p>
    <w:p w14:paraId="308BEEF5" w14:textId="77777777" w:rsidR="00D97366" w:rsidRPr="00605E32" w:rsidRDefault="00D97366" w:rsidP="00D97366">
      <w:pPr>
        <w:jc w:val="both"/>
      </w:pPr>
    </w:p>
    <w:p w14:paraId="035AFFF4" w14:textId="77777777" w:rsidR="00D97366" w:rsidRDefault="00D97366" w:rsidP="00D97366">
      <w:pPr>
        <w:jc w:val="both"/>
      </w:pPr>
      <w:r w:rsidRPr="00605E32">
        <w:rPr>
          <w:b/>
        </w:rPr>
        <w:t>AOP 010</w:t>
      </w:r>
      <w:r w:rsidRPr="00605E32">
        <w:t xml:space="preserve"> </w:t>
      </w:r>
      <w:r>
        <w:tab/>
      </w:r>
      <w:r w:rsidRPr="00605E32">
        <w:t xml:space="preserve">Poslovni objekti veći su za </w:t>
      </w:r>
      <w:r w:rsidR="00B83645">
        <w:t xml:space="preserve">26.597.338 kn ili 2,0%.  Grad Osijek iskazao je povećanje od </w:t>
      </w:r>
      <w:r>
        <w:t>27</w:t>
      </w:r>
      <w:r w:rsidRPr="00605E32">
        <w:t>.</w:t>
      </w:r>
      <w:r>
        <w:t>060</w:t>
      </w:r>
      <w:r w:rsidRPr="00605E32">
        <w:t>.</w:t>
      </w:r>
      <w:r>
        <w:t>171</w:t>
      </w:r>
      <w:r w:rsidRPr="00605E32">
        <w:t xml:space="preserve"> kn</w:t>
      </w:r>
      <w:r w:rsidR="00B83645">
        <w:t xml:space="preserve"> a proračunski korisnici smanjenje od 462.833 kn</w:t>
      </w:r>
      <w:r w:rsidRPr="00605E32">
        <w:t xml:space="preserve">. </w:t>
      </w:r>
      <w:r>
        <w:t>Ovo povećanje prvenstveno se odnosi na ulaganja u osnovne škole i dječje vrtiće na području Grada Osijeka. S investicija u pripremi izvršen je prijenos završenih investicija od kojih su financijski najznačajnije:</w:t>
      </w:r>
    </w:p>
    <w:p w14:paraId="5519EA0A" w14:textId="77777777" w:rsidR="00D97366" w:rsidRDefault="00D97366" w:rsidP="00D97366">
      <w:pPr>
        <w:jc w:val="both"/>
      </w:pPr>
      <w:r>
        <w:t>-DV Višnjevac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10.069.882 kn</w:t>
      </w:r>
    </w:p>
    <w:p w14:paraId="5E345686" w14:textId="77777777" w:rsidR="00D97366" w:rsidRDefault="00D97366" w:rsidP="00D97366">
      <w:pPr>
        <w:jc w:val="both"/>
      </w:pPr>
      <w:r>
        <w:t>-OŠ Vijenac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4.546.639 kn</w:t>
      </w:r>
    </w:p>
    <w:p w14:paraId="18E84B2B" w14:textId="77777777" w:rsidR="00D97366" w:rsidRDefault="00D97366" w:rsidP="00D97366">
      <w:pPr>
        <w:jc w:val="both"/>
      </w:pPr>
      <w:r>
        <w:t>-OŠ Antuna Mihanovića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4.206.003 kn</w:t>
      </w:r>
    </w:p>
    <w:p w14:paraId="22986719" w14:textId="77777777" w:rsidR="00D97366" w:rsidRDefault="00D97366" w:rsidP="00D97366">
      <w:pPr>
        <w:jc w:val="both"/>
      </w:pPr>
      <w:r>
        <w:t xml:space="preserve">-DV Potočnica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2.445.549 kn</w:t>
      </w:r>
    </w:p>
    <w:p w14:paraId="4BB7DF95" w14:textId="77777777" w:rsidR="00D97366" w:rsidRDefault="00D97366" w:rsidP="00D97366">
      <w:pPr>
        <w:jc w:val="both"/>
      </w:pPr>
      <w:r>
        <w:t>-DV Latica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2.074.359 kn</w:t>
      </w:r>
    </w:p>
    <w:p w14:paraId="68092521" w14:textId="77777777" w:rsidR="00D97366" w:rsidRDefault="00D97366" w:rsidP="00D97366">
      <w:pPr>
        <w:jc w:val="both"/>
      </w:pPr>
    </w:p>
    <w:p w14:paraId="41E24033" w14:textId="77777777" w:rsidR="00D97366" w:rsidRDefault="00D97366" w:rsidP="00D97366">
      <w:pPr>
        <w:jc w:val="both"/>
      </w:pPr>
      <w:r>
        <w:t xml:space="preserve"> Također su evidentirane promjene vezane za ulaganja u poslovne prostore kao i isknjiženje istih iz evidencije Grada.</w:t>
      </w:r>
    </w:p>
    <w:p w14:paraId="1FC5BCDF" w14:textId="77777777" w:rsidR="00B83645" w:rsidRPr="00605E32" w:rsidRDefault="00B83645" w:rsidP="00D97366">
      <w:pPr>
        <w:jc w:val="both"/>
      </w:pPr>
      <w:r>
        <w:t>Kod proračunskih korisnika smanjenje najvećim dijelom proizlazi iz ispravka vrijednosti potraživanja.</w:t>
      </w:r>
    </w:p>
    <w:p w14:paraId="7FEB7067" w14:textId="77777777" w:rsidR="00D97366" w:rsidRPr="00AC3462" w:rsidRDefault="00D97366" w:rsidP="00D97366">
      <w:pPr>
        <w:jc w:val="both"/>
        <w:rPr>
          <w:highlight w:val="yellow"/>
        </w:rPr>
      </w:pPr>
    </w:p>
    <w:p w14:paraId="064424DE" w14:textId="77777777" w:rsidR="00D97366" w:rsidRDefault="00D97366" w:rsidP="00D97366">
      <w:pPr>
        <w:jc w:val="both"/>
      </w:pPr>
      <w:r w:rsidRPr="00F03E37">
        <w:rPr>
          <w:b/>
        </w:rPr>
        <w:t>AOP 011</w:t>
      </w:r>
      <w:r w:rsidR="00D1302E">
        <w:t xml:space="preserve"> </w:t>
      </w:r>
      <w:r w:rsidR="00D1302E">
        <w:tab/>
      </w:r>
      <w:r w:rsidRPr="00F03E37">
        <w:t>Ceste, željeznice i ostali prometni objekti veći su za</w:t>
      </w:r>
      <w:r>
        <w:t xml:space="preserve"> 11.161.369 kn vezano za</w:t>
      </w:r>
      <w:r w:rsidRPr="00F03E37">
        <w:t xml:space="preserve"> </w:t>
      </w:r>
      <w:r>
        <w:t xml:space="preserve">izvršena </w:t>
      </w:r>
      <w:r w:rsidRPr="00F03E37">
        <w:t>ulaganja tijekom 20</w:t>
      </w:r>
      <w:r>
        <w:t>20</w:t>
      </w:r>
      <w:r w:rsidRPr="00F03E37">
        <w:t xml:space="preserve">. </w:t>
      </w:r>
      <w:r>
        <w:t xml:space="preserve">kao i prijenos s investicije u tijeku završenih investicija. Financijski najznačajnije stavke odnose se na sljedeće investicije: </w:t>
      </w:r>
    </w:p>
    <w:p w14:paraId="7F471F74" w14:textId="77777777" w:rsidR="00D97366" w:rsidRDefault="00D97366" w:rsidP="00D97366">
      <w:pPr>
        <w:jc w:val="both"/>
      </w:pPr>
      <w:r>
        <w:t xml:space="preserve">Rekonstrukcija Bakarske ulice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4.022.743 kn</w:t>
      </w:r>
    </w:p>
    <w:p w14:paraId="668E97EE" w14:textId="77777777" w:rsidR="00D97366" w:rsidRDefault="00D97366" w:rsidP="00D97366">
      <w:pPr>
        <w:jc w:val="both"/>
      </w:pPr>
      <w:r>
        <w:t xml:space="preserve">Izgradnja biciklističke staze Osijek-Bilje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3.231.730 kn </w:t>
      </w:r>
    </w:p>
    <w:p w14:paraId="076769CB" w14:textId="42A21E2A" w:rsidR="00D97366" w:rsidRDefault="00D97366" w:rsidP="00D97366">
      <w:pPr>
        <w:jc w:val="both"/>
      </w:pPr>
      <w:r>
        <w:t>Izgradnja biciklističke staze Osijek-Ten</w:t>
      </w:r>
      <w:r w:rsidR="007469E8">
        <w:t xml:space="preserve">ja </w:t>
      </w:r>
      <w:r w:rsidR="007469E8">
        <w:tab/>
      </w:r>
      <w:r w:rsidR="007469E8">
        <w:tab/>
      </w:r>
      <w:r w:rsidR="007469E8">
        <w:tab/>
      </w:r>
      <w:r w:rsidR="007469E8">
        <w:tab/>
      </w:r>
      <w:r w:rsidR="007469E8">
        <w:tab/>
        <w:t xml:space="preserve">            1.804.486 kn</w:t>
      </w:r>
    </w:p>
    <w:p w14:paraId="25524C8A" w14:textId="77777777" w:rsidR="00D97366" w:rsidRPr="00AC3462" w:rsidRDefault="00D97366" w:rsidP="00D97366">
      <w:pPr>
        <w:jc w:val="both"/>
        <w:rPr>
          <w:highlight w:val="yellow"/>
        </w:rPr>
      </w:pPr>
    </w:p>
    <w:p w14:paraId="614F2206" w14:textId="77777777" w:rsidR="00D97366" w:rsidRDefault="00D97366" w:rsidP="00D97366">
      <w:pPr>
        <w:jc w:val="both"/>
      </w:pPr>
      <w:r w:rsidRPr="00F03E37">
        <w:rPr>
          <w:b/>
        </w:rPr>
        <w:t>AOP 012</w:t>
      </w:r>
      <w:r w:rsidR="00D1302E">
        <w:t xml:space="preserve"> </w:t>
      </w:r>
      <w:r w:rsidR="00D1302E">
        <w:tab/>
      </w:r>
      <w:r w:rsidRPr="00100218">
        <w:t xml:space="preserve">Povećanje u okviru ovog AOP-a </w:t>
      </w:r>
      <w:r>
        <w:t xml:space="preserve">iznosi </w:t>
      </w:r>
      <w:r w:rsidR="00B83645">
        <w:t xml:space="preserve">65.297.571 kn ili 22,7%. Povećanje imovine Grada Osijeka je </w:t>
      </w:r>
      <w:r>
        <w:t xml:space="preserve">65.263.277 kn </w:t>
      </w:r>
      <w:r w:rsidR="00B83645">
        <w:t>a proračunskih korisnika 34.294 kn.</w:t>
      </w:r>
      <w:r>
        <w:t xml:space="preserve"> Završeni su radovi i izvršen prijenos s investicije u tijeku za sljedeće kapitalne projekte:</w:t>
      </w:r>
    </w:p>
    <w:p w14:paraId="33D91C7E" w14:textId="77777777" w:rsidR="00D97366" w:rsidRDefault="00D97366" w:rsidP="00D97366">
      <w:pPr>
        <w:jc w:val="both"/>
      </w:pPr>
      <w:r>
        <w:t xml:space="preserve">Edukativni i informativni turistički centar mladih Stara Pekara s trgom Vatroslava Lisinskog u Tvrđi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55.716.272 kn</w:t>
      </w:r>
    </w:p>
    <w:p w14:paraId="2B26DF39" w14:textId="77777777" w:rsidR="00D97366" w:rsidRDefault="00D97366" w:rsidP="00D97366">
      <w:pPr>
        <w:jc w:val="both"/>
      </w:pPr>
      <w:r>
        <w:lastRenderedPageBreak/>
        <w:t xml:space="preserve">Energetska obnova Srednjoškolskog igrališta </w:t>
      </w:r>
      <w:r>
        <w:tab/>
      </w:r>
      <w:r>
        <w:tab/>
      </w:r>
      <w:r>
        <w:tab/>
      </w:r>
      <w:r>
        <w:tab/>
        <w:t xml:space="preserve">            2.079.153 kn</w:t>
      </w:r>
    </w:p>
    <w:p w14:paraId="0D4E5232" w14:textId="77777777" w:rsidR="00D97366" w:rsidRDefault="00D97366" w:rsidP="00D97366">
      <w:pPr>
        <w:jc w:val="both"/>
      </w:pPr>
      <w:r>
        <w:t>Također je uknjižen izvršeni prijenos ulaganja u sportske terene na području grada Osijeka od strane Osječko baranjske županije u iznosu 643.241 kn</w:t>
      </w:r>
    </w:p>
    <w:p w14:paraId="10B3FC64" w14:textId="77777777" w:rsidR="00D97366" w:rsidRDefault="00D97366" w:rsidP="00D97366">
      <w:pPr>
        <w:jc w:val="both"/>
      </w:pPr>
      <w:r>
        <w:t>Preostala ulaganja izvršena su u javnu rasvjetu, gradska groblja i dr.</w:t>
      </w:r>
    </w:p>
    <w:p w14:paraId="63E652F4" w14:textId="77777777" w:rsidR="00D97366" w:rsidRDefault="00D97366" w:rsidP="00D97366">
      <w:pPr>
        <w:jc w:val="both"/>
      </w:pPr>
    </w:p>
    <w:p w14:paraId="1609578D" w14:textId="77777777" w:rsidR="00D1302E" w:rsidRPr="00D1302E" w:rsidRDefault="00D1302E" w:rsidP="00D1302E">
      <w:pPr>
        <w:jc w:val="both"/>
      </w:pPr>
      <w:r w:rsidRPr="00D1302E">
        <w:rPr>
          <w:b/>
        </w:rPr>
        <w:t>AOP 013</w:t>
      </w:r>
      <w:r w:rsidRPr="00D1302E">
        <w:t xml:space="preserve"> </w:t>
      </w:r>
      <w:r w:rsidRPr="00D1302E">
        <w:tab/>
        <w:t>Smanjenje vrijednosti građevinskih objekata proizlazi iz obračunatog ispravka vrijednosti za 2020. i ranije opisanih promjena na imovini Grada Osijeka i proračunskih korisnika.</w:t>
      </w:r>
    </w:p>
    <w:p w14:paraId="7F7067D4" w14:textId="77777777" w:rsidR="00D1302E" w:rsidRPr="00C92E9A" w:rsidRDefault="00D1302E" w:rsidP="00D1302E">
      <w:pPr>
        <w:ind w:firstLine="16"/>
        <w:jc w:val="both"/>
        <w:rPr>
          <w:color w:val="FF0000"/>
        </w:rPr>
      </w:pPr>
    </w:p>
    <w:p w14:paraId="164C2548" w14:textId="77777777" w:rsidR="00D97366" w:rsidRDefault="00D97366" w:rsidP="00D97366">
      <w:pPr>
        <w:ind w:firstLine="16"/>
        <w:jc w:val="both"/>
      </w:pPr>
      <w:r w:rsidRPr="00F03E37">
        <w:rPr>
          <w:b/>
        </w:rPr>
        <w:t>AOP 0</w:t>
      </w:r>
      <w:r>
        <w:rPr>
          <w:b/>
        </w:rPr>
        <w:t>21</w:t>
      </w:r>
      <w:r w:rsidR="00D1302E">
        <w:t xml:space="preserve"> </w:t>
      </w:r>
      <w:r w:rsidR="00D1302E">
        <w:tab/>
      </w:r>
      <w:r>
        <w:t>Povećanje u okviru ovoga AOP-a prvenstveno je vezano za opremanje objekta Edukativnog centra stara pekara i stavljanje u upotrebu imovine nabavljene u 2019.</w:t>
      </w:r>
    </w:p>
    <w:p w14:paraId="023EF8FA" w14:textId="77777777" w:rsidR="00D97366" w:rsidRPr="00AC3462" w:rsidRDefault="00D97366" w:rsidP="00D97366">
      <w:pPr>
        <w:jc w:val="both"/>
        <w:rPr>
          <w:highlight w:val="yellow"/>
        </w:rPr>
      </w:pPr>
    </w:p>
    <w:p w14:paraId="44E23CAD" w14:textId="77777777" w:rsidR="00D97366" w:rsidRDefault="00D97366" w:rsidP="00D97366">
      <w:pPr>
        <w:ind w:firstLine="16"/>
        <w:jc w:val="both"/>
      </w:pPr>
      <w:r w:rsidRPr="005D6FD7">
        <w:rPr>
          <w:b/>
        </w:rPr>
        <w:t>AOP 051</w:t>
      </w:r>
      <w:r w:rsidR="00D1302E">
        <w:t xml:space="preserve"> </w:t>
      </w:r>
      <w:r w:rsidR="00D1302E">
        <w:tab/>
      </w:r>
      <w:r w:rsidRPr="005D6FD7">
        <w:t xml:space="preserve">Dugotrajna nefinancijska imovina u pripremi veća je za </w:t>
      </w:r>
      <w:r>
        <w:t>25</w:t>
      </w:r>
      <w:r w:rsidRPr="005D6FD7">
        <w:t>.</w:t>
      </w:r>
      <w:r>
        <w:t>691</w:t>
      </w:r>
      <w:r w:rsidRPr="005D6FD7">
        <w:t>.</w:t>
      </w:r>
      <w:r>
        <w:t>489</w:t>
      </w:r>
      <w:r w:rsidRPr="005D6FD7">
        <w:t xml:space="preserve"> kn</w:t>
      </w:r>
      <w:r>
        <w:t xml:space="preserve"> ili 23,6%</w:t>
      </w:r>
      <w:r w:rsidR="00B83645">
        <w:t xml:space="preserve"> i u cijelosti se odnosi na imovinu Grada Osijeka</w:t>
      </w:r>
      <w:r>
        <w:t>.</w:t>
      </w:r>
    </w:p>
    <w:p w14:paraId="363E98FC" w14:textId="77777777" w:rsidR="00D97366" w:rsidRDefault="00D97366" w:rsidP="00D97366">
      <w:pPr>
        <w:ind w:firstLine="16"/>
        <w:jc w:val="both"/>
      </w:pPr>
      <w:r>
        <w:t>Smanjenje u okviru ovih AOP-a vezano je za prijenos na račune imovine završenih investicija započetih u prethodnim godinama dok su povećanja odraz novih ulaganja tijekom 2020.</w:t>
      </w:r>
    </w:p>
    <w:p w14:paraId="1A7FC7C0" w14:textId="77777777" w:rsidR="00D97366" w:rsidRDefault="00D97366" w:rsidP="00D97366">
      <w:pPr>
        <w:ind w:firstLine="16"/>
        <w:jc w:val="both"/>
      </w:pPr>
      <w:r>
        <w:t xml:space="preserve">Stambeni objekti veći su za 3.603.777 kn uslijed početka radova na izgradnji </w:t>
      </w:r>
      <w:r w:rsidR="00B75029">
        <w:t>vise stambenih</w:t>
      </w:r>
      <w:r>
        <w:t xml:space="preserve"> zgrada za socijalne skupine građana.</w:t>
      </w:r>
    </w:p>
    <w:p w14:paraId="331EE02D" w14:textId="77777777" w:rsidR="00D97366" w:rsidRDefault="00D97366" w:rsidP="00D97366">
      <w:pPr>
        <w:ind w:firstLine="16"/>
        <w:jc w:val="both"/>
      </w:pPr>
      <w:r>
        <w:t>Poslovni objekti u pripremi veći su za 11.874.070 kn i navedeno povećanje najvećim dijelom vezano je za projekt uređenja Kulturnog centra Osijek.</w:t>
      </w:r>
    </w:p>
    <w:p w14:paraId="428AE681" w14:textId="77777777" w:rsidR="00D97366" w:rsidRDefault="00D97366" w:rsidP="00D97366">
      <w:pPr>
        <w:ind w:firstLine="16"/>
        <w:jc w:val="both"/>
      </w:pPr>
      <w:r>
        <w:t xml:space="preserve">Ceste u pripremi veće su za 6.160.005 kn uslijed radova na pristupnoj cesti za I. Gimnaziju i Školu nogometa NK Osijek. </w:t>
      </w:r>
    </w:p>
    <w:p w14:paraId="65B9B9A1" w14:textId="77777777" w:rsidR="00D97366" w:rsidRDefault="00D97366" w:rsidP="00D97366">
      <w:pPr>
        <w:ind w:firstLine="16"/>
        <w:jc w:val="both"/>
      </w:pPr>
      <w:r>
        <w:t>Smanjenje u okviru računa Postrojenja i oprema u pripremi rezultat je stavljanja u upotrebu nabavljene imovine u 2019. za opremanje Edukativnog centra Stara pekara.</w:t>
      </w:r>
    </w:p>
    <w:p w14:paraId="21133C5E" w14:textId="77777777" w:rsidR="00D97366" w:rsidRDefault="00D97366" w:rsidP="00D97366">
      <w:pPr>
        <w:ind w:firstLine="16"/>
        <w:jc w:val="both"/>
        <w:rPr>
          <w:b/>
          <w:sz w:val="28"/>
          <w:szCs w:val="28"/>
          <w:highlight w:val="yellow"/>
          <w:u w:val="single"/>
        </w:rPr>
      </w:pPr>
      <w:r>
        <w:t>Ostala nefinancijska imovina u pripremi veća je za 11.894.869 kn ili 160,1%. Navedeno povećanje prvenstveno je vezano za ulaganja u projekt oborinske odvodnje u Industrijskoj zoni Nemetin.</w:t>
      </w:r>
      <w:r>
        <w:rPr>
          <w:b/>
          <w:sz w:val="28"/>
          <w:szCs w:val="28"/>
          <w:highlight w:val="yellow"/>
          <w:u w:val="single"/>
        </w:rPr>
        <w:t xml:space="preserve"> </w:t>
      </w:r>
    </w:p>
    <w:p w14:paraId="79FFA4AE" w14:textId="77777777" w:rsidR="00D7263E" w:rsidRPr="00C92E9A" w:rsidRDefault="00D7263E" w:rsidP="00D7263E">
      <w:pPr>
        <w:jc w:val="both"/>
        <w:rPr>
          <w:color w:val="FF0000"/>
        </w:rPr>
      </w:pPr>
    </w:p>
    <w:p w14:paraId="5F5DB2CD" w14:textId="77777777" w:rsidR="00B471B5" w:rsidRPr="00C92E9A" w:rsidRDefault="00B471B5" w:rsidP="00B471B5">
      <w:pPr>
        <w:ind w:firstLine="708"/>
        <w:jc w:val="both"/>
        <w:rPr>
          <w:color w:val="FF0000"/>
        </w:rPr>
      </w:pPr>
    </w:p>
    <w:p w14:paraId="28A14B99" w14:textId="77777777" w:rsidR="00B471B5" w:rsidRDefault="00B471B5" w:rsidP="00D1302E">
      <w:pPr>
        <w:jc w:val="both"/>
      </w:pPr>
      <w:r w:rsidRPr="00D1302E">
        <w:rPr>
          <w:b/>
        </w:rPr>
        <w:t>AOP 063</w:t>
      </w:r>
      <w:r w:rsidR="00D1302E">
        <w:t xml:space="preserve"> </w:t>
      </w:r>
      <w:r w:rsidR="00D1302E">
        <w:tab/>
      </w:r>
      <w:r w:rsidR="00D1302E" w:rsidRPr="00D1302E">
        <w:t>Financijska imovina iznosi 651.035</w:t>
      </w:r>
      <w:r w:rsidRPr="00D1302E">
        <w:t>.</w:t>
      </w:r>
      <w:r w:rsidR="00D1302E" w:rsidRPr="00D1302E">
        <w:t>575</w:t>
      </w:r>
      <w:r w:rsidRPr="00D1302E">
        <w:t xml:space="preserve"> k</w:t>
      </w:r>
      <w:r w:rsidR="000D6AFC" w:rsidRPr="00D1302E">
        <w:t xml:space="preserve">n. </w:t>
      </w:r>
      <w:r w:rsidR="00D1302E" w:rsidRPr="00D1302E">
        <w:t>U</w:t>
      </w:r>
      <w:r w:rsidR="000D6AFC" w:rsidRPr="00D1302E">
        <w:t xml:space="preserve"> odnosu na </w:t>
      </w:r>
      <w:r w:rsidR="00D1302E" w:rsidRPr="00D1302E">
        <w:t>01.01. 2020</w:t>
      </w:r>
      <w:r w:rsidRPr="00D1302E">
        <w:t>.</w:t>
      </w:r>
      <w:r w:rsidR="00D1302E" w:rsidRPr="00D1302E">
        <w:t xml:space="preserve"> to je smanjenje za 1</w:t>
      </w:r>
      <w:r w:rsidRPr="00D1302E">
        <w:t>.</w:t>
      </w:r>
      <w:r w:rsidR="00D1302E" w:rsidRPr="00D1302E">
        <w:t>562</w:t>
      </w:r>
      <w:r w:rsidRPr="00D1302E">
        <w:t>.</w:t>
      </w:r>
      <w:r w:rsidR="00D1302E" w:rsidRPr="00D1302E">
        <w:t>797</w:t>
      </w:r>
      <w:r w:rsidRPr="00D1302E">
        <w:t xml:space="preserve"> kn</w:t>
      </w:r>
      <w:r w:rsidR="00D1302E" w:rsidRPr="00D1302E">
        <w:t xml:space="preserve"> ili 0,2%</w:t>
      </w:r>
      <w:r w:rsidRPr="00D1302E">
        <w:t xml:space="preserve">. Od navedenog iznosa </w:t>
      </w:r>
      <w:r w:rsidR="00D1302E" w:rsidRPr="00D1302E">
        <w:t xml:space="preserve">smanjenje financijske imovine Grada Osijeka iznosi 11.545.132 kn ili 1,9%  a povećanje proračunskih korisnika 9.982.335 kn. </w:t>
      </w:r>
    </w:p>
    <w:p w14:paraId="4EDE005A" w14:textId="77777777" w:rsidR="001031C8" w:rsidRPr="00596E5C" w:rsidRDefault="001031C8" w:rsidP="001031C8">
      <w:pPr>
        <w:ind w:firstLine="708"/>
        <w:jc w:val="both"/>
      </w:pPr>
      <w:r w:rsidRPr="00596E5C">
        <w:t>Od proračunskih korisnika, najveće poveć</w:t>
      </w:r>
      <w:r w:rsidR="00296D7D" w:rsidRPr="00596E5C">
        <w:t>anje financijske imovine bilježi D</w:t>
      </w:r>
      <w:r w:rsidR="00596E5C" w:rsidRPr="00596E5C">
        <w:t>ječji vrtić Osijek 1.841.395 kn, OŠ Becić 540.967 kn, OŠ Šenoa 319.032 kn i dr</w:t>
      </w:r>
      <w:r w:rsidRPr="00596E5C">
        <w:t>. Navedena povećanja prvenstveno se odnose na novčana sredstva na računu. Ista su kod osnovnih škola proizišla iz uplata za projekt Erasmus +, doznaka Ministarstva krajem godin</w:t>
      </w:r>
      <w:r w:rsidR="00596E5C" w:rsidRPr="00596E5C">
        <w:t>e za opremanje i stručne ispite, doznake HZZ-a i dr.</w:t>
      </w:r>
    </w:p>
    <w:p w14:paraId="35C05962" w14:textId="77777777" w:rsidR="001031C8" w:rsidRPr="00596E5C" w:rsidRDefault="001031C8" w:rsidP="00D1302E">
      <w:pPr>
        <w:jc w:val="both"/>
      </w:pPr>
    </w:p>
    <w:p w14:paraId="2F31D287" w14:textId="77777777" w:rsidR="00D1302E" w:rsidRPr="009E07B7" w:rsidRDefault="00D1302E" w:rsidP="00D1302E">
      <w:pPr>
        <w:jc w:val="both"/>
      </w:pPr>
      <w:r>
        <w:t>Isto je rezultat,</w:t>
      </w:r>
      <w:r w:rsidRPr="00D1302E">
        <w:t xml:space="preserve"> </w:t>
      </w:r>
      <w:r w:rsidRPr="009E07B7">
        <w:t xml:space="preserve">uz financijske transakcije iskazane na proračunskim pozicijama, sljedećih promjena: </w:t>
      </w:r>
    </w:p>
    <w:p w14:paraId="25665B4A" w14:textId="77777777" w:rsidR="00D1302E" w:rsidRPr="00AC3462" w:rsidRDefault="00D1302E" w:rsidP="00D1302E">
      <w:pPr>
        <w:jc w:val="both"/>
        <w:rPr>
          <w:highlight w:val="yellow"/>
        </w:rPr>
      </w:pPr>
    </w:p>
    <w:p w14:paraId="62C8DBFB" w14:textId="77777777" w:rsidR="00D1302E" w:rsidRDefault="00D1302E" w:rsidP="00D1302E">
      <w:pPr>
        <w:jc w:val="both"/>
      </w:pPr>
      <w:r w:rsidRPr="00590962">
        <w:rPr>
          <w:b/>
        </w:rPr>
        <w:t>AOP 064</w:t>
      </w:r>
      <w:r>
        <w:t xml:space="preserve"> </w:t>
      </w:r>
      <w:r>
        <w:tab/>
      </w:r>
      <w:r w:rsidRPr="00590962">
        <w:t xml:space="preserve">Novčana sredstva u banci </w:t>
      </w:r>
      <w:r>
        <w:t>manja</w:t>
      </w:r>
      <w:r w:rsidRPr="00590962">
        <w:t xml:space="preserve"> su za </w:t>
      </w:r>
      <w:r w:rsidR="00A379C9">
        <w:t>317.737</w:t>
      </w:r>
      <w:r>
        <w:t xml:space="preserve"> kn ili </w:t>
      </w:r>
      <w:r w:rsidR="00A379C9">
        <w:t>0</w:t>
      </w:r>
      <w:r>
        <w:t>,</w:t>
      </w:r>
      <w:r w:rsidR="00A379C9">
        <w:t>5</w:t>
      </w:r>
      <w:r>
        <w:t xml:space="preserve">% i iznose </w:t>
      </w:r>
      <w:r w:rsidR="00A379C9">
        <w:t xml:space="preserve">61.446.008 kn. Novčana sredstva na računu Grada Osijeka iznose </w:t>
      </w:r>
      <w:r>
        <w:t>46.286.283 kn</w:t>
      </w:r>
      <w:r w:rsidR="00A379C9">
        <w:t xml:space="preserve"> a na računima proračunskih korisnika 15.159.725 kn</w:t>
      </w:r>
      <w:r>
        <w:t>.</w:t>
      </w:r>
      <w:r w:rsidRPr="00590962">
        <w:t xml:space="preserve"> </w:t>
      </w:r>
      <w:r>
        <w:t>Stanje novčanih sredstava</w:t>
      </w:r>
      <w:r w:rsidRPr="00590962">
        <w:t xml:space="preserve"> </w:t>
      </w:r>
      <w:r>
        <w:t xml:space="preserve">odraz je naplaćenih prihoda i primitaka i plaćenih rashoda i izdataka Grada te </w:t>
      </w:r>
      <w:r w:rsidRPr="00590962">
        <w:t>predujmova dobivenih za prov</w:t>
      </w:r>
      <w:r>
        <w:t>edbu</w:t>
      </w:r>
      <w:r w:rsidRPr="00590962">
        <w:t xml:space="preserve"> projekata</w:t>
      </w:r>
      <w:r>
        <w:t xml:space="preserve"> koji se sufinanciraju sredstvima EU.</w:t>
      </w:r>
      <w:r w:rsidRPr="00590962">
        <w:t xml:space="preserve"> </w:t>
      </w:r>
      <w:r>
        <w:t xml:space="preserve">U istim su sadržana sredstva za podmirenje kratkoročnih obveza prema dobavljačima koje dospijevaju početkom siječnja 2021., te naplaćeni a neutrošeni </w:t>
      </w:r>
      <w:r>
        <w:lastRenderedPageBreak/>
        <w:t>namjenski prihodi s osnova prodaje stanova</w:t>
      </w:r>
      <w:r w:rsidR="00A379C9">
        <w:t>, komunalnog doprinosa, prodaje građevinskog zemljišta, naknade za zadržavanje nezakonito izgrađenih zgrada u prostoru</w:t>
      </w:r>
      <w:r>
        <w:t xml:space="preserve"> i dr. </w:t>
      </w:r>
    </w:p>
    <w:p w14:paraId="4EAC0B91" w14:textId="77777777" w:rsidR="00D1302E" w:rsidRDefault="00D1302E" w:rsidP="00D1302E">
      <w:pPr>
        <w:jc w:val="both"/>
      </w:pPr>
      <w:r>
        <w:t>Vidljivo je da Grad nije imao problema s likvidnosti iako se pandemija virusa COVID-19 odrazila na prihode i rashode Grada, posebice u dijelu komunalne naknade, zakupa poslovnih prostora i javnih površina te subvencija za pomoć malom gospodarstvu i trgovačkim društvima u većinskom vlasništvu Grada Osijeka.</w:t>
      </w:r>
      <w:r w:rsidR="00A379C9">
        <w:t xml:space="preserve"> Proračunski korisnici iskazali su značajna novčana sredstva na svojim računima. Kod Dječjeg vrtića Osijek novčana sredstva rezultat su značajno manjih obveza za plaće djelatnika i prijevoz u studenom i prosincu 2020. jer su isti bili u samoizolaciji i ostvarivali pravo na naknadu plaće. Također su bili manji troškovi energenata i troškovi vezani za prehranu djece u vrtićima. Potrebno je istaknuti da je Grad Osijek osigurao dodatna sredstva za manje ostvarene prihoda od sufinanciranja roditelja. Kod škola novčana sredstva na računima uglavnom su ostvarena s osnova </w:t>
      </w:r>
      <w:r w:rsidR="007568CD">
        <w:t xml:space="preserve">uplaćenih </w:t>
      </w:r>
      <w:r w:rsidR="00A379C9">
        <w:t>sredstva HZZ-a</w:t>
      </w:r>
      <w:r w:rsidR="007568CD">
        <w:t xml:space="preserve">, sredstava za provedbu EU projekata i dr. </w:t>
      </w:r>
    </w:p>
    <w:p w14:paraId="39449C48" w14:textId="77777777" w:rsidR="00D1302E" w:rsidRDefault="00D1302E" w:rsidP="00D1302E">
      <w:pPr>
        <w:jc w:val="both"/>
        <w:rPr>
          <w:highlight w:val="yellow"/>
        </w:rPr>
      </w:pPr>
    </w:p>
    <w:p w14:paraId="182C517F" w14:textId="77777777" w:rsidR="00D1302E" w:rsidRDefault="00D1302E" w:rsidP="00D1302E">
      <w:pPr>
        <w:jc w:val="both"/>
      </w:pPr>
      <w:r w:rsidRPr="00590962">
        <w:rPr>
          <w:b/>
        </w:rPr>
        <w:t>AOP 0</w:t>
      </w:r>
      <w:r w:rsidR="007568CD">
        <w:rPr>
          <w:b/>
        </w:rPr>
        <w:t>81</w:t>
      </w:r>
      <w:r w:rsidR="007568CD">
        <w:t xml:space="preserve"> </w:t>
      </w:r>
      <w:r w:rsidR="007568CD">
        <w:tab/>
      </w:r>
      <w:r>
        <w:t xml:space="preserve">Povećanje </w:t>
      </w:r>
      <w:r w:rsidRPr="00590962">
        <w:t xml:space="preserve">u okviru ovog AOP-a </w:t>
      </w:r>
      <w:r>
        <w:t xml:space="preserve">od </w:t>
      </w:r>
      <w:r w:rsidR="007568CD">
        <w:t>8.932.576 kn ili 291</w:t>
      </w:r>
      <w:r>
        <w:t>,</w:t>
      </w:r>
      <w:r w:rsidR="007568CD">
        <w:t>9</w:t>
      </w:r>
      <w:r>
        <w:t xml:space="preserve">% </w:t>
      </w:r>
      <w:r w:rsidR="007568CD">
        <w:t xml:space="preserve">najvećim dijelom </w:t>
      </w:r>
      <w:r w:rsidRPr="00590962">
        <w:t xml:space="preserve">odnosi se </w:t>
      </w:r>
      <w:r>
        <w:t xml:space="preserve">na dani predujam izvođaču radova na provedbi projekta Razvoj i unapređenje osječke Tvrđe. Potraživanja temeljem ovoga iznosila su na dan 31.12.2020. 8.261.556,29 kn. Preostala iskazana potraživanja su potraživanje prema Hrvatskim vodama za više doznačenu (raspoređenu) vodnu naknadu u iznosu 1.351.927 kn, potraživanja od proračunskog korisnika Kulturni centar za doznačena sredstva za nabavu opreme u iznosu 142.753 kn i dr. </w:t>
      </w:r>
    </w:p>
    <w:p w14:paraId="773F38B8" w14:textId="77777777" w:rsidR="00D1302E" w:rsidRDefault="00D1302E" w:rsidP="00D1302E">
      <w:pPr>
        <w:jc w:val="both"/>
      </w:pPr>
    </w:p>
    <w:p w14:paraId="4F6FE4E7" w14:textId="77777777" w:rsidR="00D1302E" w:rsidRDefault="00D1302E" w:rsidP="00D1302E">
      <w:pPr>
        <w:jc w:val="both"/>
      </w:pPr>
      <w:r w:rsidRPr="0030198B">
        <w:rPr>
          <w:b/>
        </w:rPr>
        <w:t>AOP 13</w:t>
      </w:r>
      <w:r>
        <w:rPr>
          <w:b/>
        </w:rPr>
        <w:t>4</w:t>
      </w:r>
      <w:r w:rsidR="007568CD">
        <w:t xml:space="preserve"> </w:t>
      </w:r>
      <w:r w:rsidR="007568CD">
        <w:tab/>
      </w:r>
      <w:r>
        <w:t xml:space="preserve"> Povećanje u okviru ovoga AOP-a vezano je za izvršeno povećanje kapitala u društvu Obnovljivi izvori energije d.o.o. u iznosu 60.000 kn.</w:t>
      </w:r>
    </w:p>
    <w:p w14:paraId="12AD47B7" w14:textId="77777777" w:rsidR="00D1302E" w:rsidRDefault="00D1302E" w:rsidP="00D1302E"/>
    <w:p w14:paraId="1CA4EA22" w14:textId="77777777" w:rsidR="00D1302E" w:rsidRDefault="00D1302E" w:rsidP="00D1302E">
      <w:pPr>
        <w:jc w:val="both"/>
      </w:pPr>
      <w:r w:rsidRPr="009E07B7">
        <w:rPr>
          <w:b/>
          <w:bCs/>
        </w:rPr>
        <w:t>AOP 14</w:t>
      </w:r>
      <w:r>
        <w:rPr>
          <w:b/>
          <w:bCs/>
        </w:rPr>
        <w:t>1</w:t>
      </w:r>
      <w:r w:rsidR="007568CD">
        <w:t xml:space="preserve"> </w:t>
      </w:r>
      <w:r w:rsidR="007568CD">
        <w:tab/>
      </w:r>
      <w:r w:rsidRPr="009E07B7">
        <w:t xml:space="preserve"> Potraživanja za prihode poslovanja </w:t>
      </w:r>
      <w:r>
        <w:t>manja</w:t>
      </w:r>
      <w:r w:rsidRPr="009E07B7">
        <w:t xml:space="preserve"> su za </w:t>
      </w:r>
      <w:r w:rsidR="007568CD">
        <w:t xml:space="preserve">11.909.433 kn ili 24,4%. Od navedenog iznosa smanjenje kod Grada Osijeka je </w:t>
      </w:r>
      <w:r>
        <w:t>11</w:t>
      </w:r>
      <w:r w:rsidRPr="009E07B7">
        <w:t>.</w:t>
      </w:r>
      <w:r>
        <w:t>482</w:t>
      </w:r>
      <w:r w:rsidRPr="009E07B7">
        <w:t>.</w:t>
      </w:r>
      <w:r>
        <w:t>919</w:t>
      </w:r>
      <w:r w:rsidRPr="009E07B7">
        <w:t xml:space="preserve"> kn</w:t>
      </w:r>
      <w:r>
        <w:t xml:space="preserve"> ili 24,3%</w:t>
      </w:r>
      <w:r w:rsidR="007568CD">
        <w:t xml:space="preserve"> a kod proračunskih korisnika 426.514 kn.</w:t>
      </w:r>
      <w:r w:rsidRPr="009E07B7">
        <w:t xml:space="preserve"> Iz obrazloženja uz obrazac P-VRIO razvidno je da su u 20</w:t>
      </w:r>
      <w:r>
        <w:t>20</w:t>
      </w:r>
      <w:r w:rsidRPr="009E07B7">
        <w:t>. isknjižena potraživanja po odluci o otpisu, odnosno provedenoj inventuri za 20</w:t>
      </w:r>
      <w:r>
        <w:t>19</w:t>
      </w:r>
      <w:r w:rsidRPr="009E07B7">
        <w:t>. Za dio nenaplaćenih potraživanja iz ranijih godina napravljen je ispravak potraživanja</w:t>
      </w:r>
      <w:r>
        <w:t xml:space="preserve"> na propisani način</w:t>
      </w:r>
      <w:r w:rsidRPr="009E07B7">
        <w:t>.</w:t>
      </w:r>
      <w:r>
        <w:t xml:space="preserve"> Uknjižena su potraživanja za pomoći koje nisu uplaćene do 31.12.2020. temeljem izvršenih rashoda za projekte sufinancirane iz fondova Europske unije u iznosu 13.931.920 kn i manje doznačena sredstva za decentralizirane funkcije u iznosu 88.698 kn.</w:t>
      </w:r>
      <w:r w:rsidR="007568CD">
        <w:t xml:space="preserve"> Smanjenje kod proračunskih korisnika vezano je za naplatu potraživanja.</w:t>
      </w:r>
    </w:p>
    <w:p w14:paraId="7DB6EC18" w14:textId="77777777" w:rsidR="007568CD" w:rsidRDefault="007568CD" w:rsidP="00D1302E">
      <w:pPr>
        <w:jc w:val="both"/>
      </w:pPr>
    </w:p>
    <w:p w14:paraId="6D8C5B70" w14:textId="77777777" w:rsidR="007568CD" w:rsidRPr="009E07B7" w:rsidRDefault="007568CD" w:rsidP="00D1302E">
      <w:pPr>
        <w:jc w:val="both"/>
      </w:pPr>
      <w:r w:rsidRPr="001031C8">
        <w:rPr>
          <w:b/>
        </w:rPr>
        <w:t>AOP 157</w:t>
      </w:r>
      <w:r>
        <w:tab/>
        <w:t xml:space="preserve">Ispravak potraživanja za prihode poslovanja sačinjen je sukladno </w:t>
      </w:r>
      <w:r w:rsidR="001031C8">
        <w:t>zakonskim propisima. Razlika u odnosu na 2019. rezultat je provedenog ispravka potraživanja za promet na porez nekretnina i komunalnu naknadu u 2020- za koje nije iskazan ispravak u 2019. iz razloga nedostatne dokumentacije za provedbu istoga.</w:t>
      </w:r>
    </w:p>
    <w:p w14:paraId="3C9CC84E" w14:textId="77777777" w:rsidR="00D1302E" w:rsidRPr="009E07B7" w:rsidRDefault="00D1302E" w:rsidP="00D1302E">
      <w:pPr>
        <w:jc w:val="both"/>
        <w:rPr>
          <w:highlight w:val="yellow"/>
        </w:rPr>
      </w:pPr>
    </w:p>
    <w:p w14:paraId="65BD3279" w14:textId="77777777" w:rsidR="00D1302E" w:rsidRDefault="00D1302E" w:rsidP="00D1302E">
      <w:pPr>
        <w:jc w:val="both"/>
        <w:rPr>
          <w:b/>
          <w:bCs/>
        </w:rPr>
      </w:pPr>
    </w:p>
    <w:p w14:paraId="26463981" w14:textId="77777777" w:rsidR="00D1302E" w:rsidRPr="009E07B7" w:rsidRDefault="00D1302E" w:rsidP="00D1302E">
      <w:pPr>
        <w:jc w:val="both"/>
      </w:pPr>
      <w:r w:rsidRPr="009E07B7">
        <w:rPr>
          <w:b/>
          <w:bCs/>
        </w:rPr>
        <w:t>AOP 15</w:t>
      </w:r>
      <w:r>
        <w:rPr>
          <w:b/>
          <w:bCs/>
        </w:rPr>
        <w:t>8</w:t>
      </w:r>
      <w:r w:rsidR="001031C8">
        <w:t xml:space="preserve"> </w:t>
      </w:r>
      <w:r w:rsidR="001031C8">
        <w:tab/>
      </w:r>
      <w:r w:rsidRPr="009E07B7">
        <w:t xml:space="preserve">Potraživanja od prodaje nefinancijske imovine manja su za </w:t>
      </w:r>
      <w:r w:rsidR="001031C8">
        <w:t xml:space="preserve">3.208.823 kn ili 39% od čega je Grad Osijeka </w:t>
      </w:r>
      <w:r>
        <w:t>3</w:t>
      </w:r>
      <w:r w:rsidRPr="009E07B7">
        <w:t>.</w:t>
      </w:r>
      <w:r>
        <w:t>187</w:t>
      </w:r>
      <w:r w:rsidRPr="009E07B7">
        <w:t>.</w:t>
      </w:r>
      <w:r>
        <w:t>683</w:t>
      </w:r>
      <w:r w:rsidRPr="009E07B7">
        <w:t xml:space="preserve"> kn</w:t>
      </w:r>
      <w:r w:rsidR="001031C8">
        <w:t xml:space="preserve"> a proračunski korisnici 21.140 kn</w:t>
      </w:r>
      <w:r>
        <w:t>.</w:t>
      </w:r>
      <w:r w:rsidRPr="009E07B7">
        <w:t xml:space="preserve"> Navedeno smanjenje vezano je za redovnu naplatu potraživanja s osnova prodanih stanova na obročnu otplatu, domarskih stanova i stanova za invalide Domovinskog rata</w:t>
      </w:r>
      <w:r>
        <w:t xml:space="preserve"> te izvršenog otpisa potraživanja. Razlika u odnosu na stanje 1.1.2020. prvenstveno se odnosi na provedeni ispravak potraživanja za obročnu otplatu stanova.</w:t>
      </w:r>
      <w:r w:rsidR="001031C8">
        <w:t xml:space="preserve"> </w:t>
      </w:r>
    </w:p>
    <w:p w14:paraId="6F18D2C4" w14:textId="77777777" w:rsidR="00D1302E" w:rsidRPr="009E07B7" w:rsidRDefault="00D1302E" w:rsidP="00D1302E">
      <w:pPr>
        <w:jc w:val="both"/>
        <w:rPr>
          <w:highlight w:val="yellow"/>
        </w:rPr>
      </w:pPr>
    </w:p>
    <w:p w14:paraId="265A9F4B" w14:textId="77777777" w:rsidR="00D1302E" w:rsidRPr="005B4F26" w:rsidRDefault="00D1302E" w:rsidP="00D1302E">
      <w:pPr>
        <w:jc w:val="both"/>
      </w:pPr>
      <w:r w:rsidRPr="005B4F26">
        <w:rPr>
          <w:b/>
        </w:rPr>
        <w:lastRenderedPageBreak/>
        <w:t>AOP 1</w:t>
      </w:r>
      <w:r>
        <w:rPr>
          <w:b/>
        </w:rPr>
        <w:t>64</w:t>
      </w:r>
      <w:r w:rsidR="001031C8">
        <w:t xml:space="preserve"> </w:t>
      </w:r>
      <w:r w:rsidR="001031C8">
        <w:tab/>
      </w:r>
      <w:r w:rsidRPr="005B4F26">
        <w:t>U okviru ovoga AOP-a iskazani su rashodi kontinuiteta za plaću</w:t>
      </w:r>
      <w:r w:rsidR="001031C8">
        <w:t xml:space="preserve"> Grada Osijeka i proračunskih korisnika</w:t>
      </w:r>
      <w:r w:rsidRPr="005B4F26">
        <w:t xml:space="preserve"> za prosinac 20</w:t>
      </w:r>
      <w:r>
        <w:t>20</w:t>
      </w:r>
      <w:r w:rsidRPr="005B4F26">
        <w:t>.</w:t>
      </w:r>
      <w:r w:rsidR="001031C8">
        <w:t>, troškove režija</w:t>
      </w:r>
      <w:r w:rsidRPr="005B4F26">
        <w:t xml:space="preserve"> kao i isplate naknade vijećnicima i upravnim vijećima te posebnim odborima Gradskog vijeća i gradonačelnika.</w:t>
      </w:r>
    </w:p>
    <w:p w14:paraId="7D9DBDE9" w14:textId="77777777" w:rsidR="00D1302E" w:rsidRPr="00AC3462" w:rsidRDefault="00D1302E" w:rsidP="00D1302E">
      <w:pPr>
        <w:jc w:val="both"/>
        <w:rPr>
          <w:b/>
          <w:sz w:val="28"/>
          <w:szCs w:val="28"/>
          <w:highlight w:val="yellow"/>
          <w:u w:val="single"/>
        </w:rPr>
      </w:pPr>
    </w:p>
    <w:p w14:paraId="278B804B" w14:textId="77777777" w:rsidR="00B471B5" w:rsidRPr="00C92E9A" w:rsidRDefault="00B471B5" w:rsidP="00B471B5">
      <w:pPr>
        <w:ind w:left="360" w:firstLine="348"/>
        <w:jc w:val="both"/>
        <w:rPr>
          <w:color w:val="FF0000"/>
        </w:rPr>
      </w:pPr>
      <w:r w:rsidRPr="00C92E9A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C57F69" w14:textId="77777777" w:rsidR="00B471B5" w:rsidRPr="005C1099" w:rsidRDefault="00B471B5" w:rsidP="001031C8">
      <w:pPr>
        <w:jc w:val="both"/>
      </w:pPr>
      <w:r w:rsidRPr="005C1099">
        <w:rPr>
          <w:b/>
        </w:rPr>
        <w:t>AOP 16</w:t>
      </w:r>
      <w:r w:rsidR="00BD7374" w:rsidRPr="005C1099">
        <w:rPr>
          <w:b/>
        </w:rPr>
        <w:t>9</w:t>
      </w:r>
      <w:r w:rsidR="001031C8" w:rsidRPr="005C1099">
        <w:rPr>
          <w:b/>
        </w:rPr>
        <w:t xml:space="preserve"> </w:t>
      </w:r>
      <w:r w:rsidR="001031C8" w:rsidRPr="005C1099">
        <w:rPr>
          <w:b/>
        </w:rPr>
        <w:tab/>
      </w:r>
      <w:r w:rsidRPr="005C1099">
        <w:t>Stanje obvez</w:t>
      </w:r>
      <w:r w:rsidR="008A3219" w:rsidRPr="005C1099">
        <w:t>a Grada Osijeka i proračunskih korisnika na 31.12.</w:t>
      </w:r>
      <w:r w:rsidRPr="005C1099">
        <w:t>20</w:t>
      </w:r>
      <w:r w:rsidR="008A3219" w:rsidRPr="005C1099">
        <w:t>20</w:t>
      </w:r>
      <w:r w:rsidRPr="005C1099">
        <w:t xml:space="preserve">. je </w:t>
      </w:r>
      <w:r w:rsidR="005C1099" w:rsidRPr="005C1099">
        <w:t>228</w:t>
      </w:r>
      <w:r w:rsidRPr="005C1099">
        <w:t>.</w:t>
      </w:r>
      <w:r w:rsidR="005C1099" w:rsidRPr="005C1099">
        <w:t>392</w:t>
      </w:r>
      <w:r w:rsidRPr="005C1099">
        <w:t>.</w:t>
      </w:r>
      <w:r w:rsidR="005C1099" w:rsidRPr="005C1099">
        <w:t>757</w:t>
      </w:r>
      <w:r w:rsidRPr="005C1099">
        <w:t xml:space="preserve"> kn što je povećanje za </w:t>
      </w:r>
      <w:r w:rsidR="005C1099" w:rsidRPr="005C1099">
        <w:t>35</w:t>
      </w:r>
      <w:r w:rsidRPr="005C1099">
        <w:t>.</w:t>
      </w:r>
      <w:r w:rsidR="005C1099" w:rsidRPr="005C1099">
        <w:t>690</w:t>
      </w:r>
      <w:r w:rsidRPr="005C1099">
        <w:t>.08</w:t>
      </w:r>
      <w:r w:rsidR="005C1099" w:rsidRPr="005C1099">
        <w:t>3</w:t>
      </w:r>
      <w:r w:rsidRPr="005C1099">
        <w:t xml:space="preserve"> kn</w:t>
      </w:r>
      <w:r w:rsidR="005C1099" w:rsidRPr="005C1099">
        <w:t xml:space="preserve"> ili18,5%</w:t>
      </w:r>
      <w:r w:rsidRPr="005C1099">
        <w:t xml:space="preserve"> u odnosu na </w:t>
      </w:r>
      <w:r w:rsidR="005C1099" w:rsidRPr="005C1099">
        <w:t>0</w:t>
      </w:r>
      <w:r w:rsidRPr="005C1099">
        <w:t xml:space="preserve">1. </w:t>
      </w:r>
      <w:r w:rsidR="005C1099" w:rsidRPr="005C1099">
        <w:t>01.</w:t>
      </w:r>
      <w:r w:rsidRPr="005C1099">
        <w:t>20</w:t>
      </w:r>
      <w:r w:rsidR="005C1099" w:rsidRPr="005C1099">
        <w:t>20</w:t>
      </w:r>
      <w:r w:rsidRPr="005C1099">
        <w:t>.</w:t>
      </w:r>
    </w:p>
    <w:p w14:paraId="0CB5A189" w14:textId="77777777" w:rsidR="008A3219" w:rsidRDefault="008A3219" w:rsidP="008A3219">
      <w:pPr>
        <w:jc w:val="both"/>
      </w:pPr>
      <w:r>
        <w:t xml:space="preserve">Ukupne obveze Grada Osijeka na dan 31.12.2020. iznose 202.573.405 kn što je povećanje od 34.322.400 kn ili 1,1%. Ovo povećanje prvenstveno je vezano za realizaciju dugoročnih kredita za financiranje kapitalnih projekata i beskamatni zajam Ministarstva financija. Obveze su detaljnije </w:t>
      </w:r>
      <w:r w:rsidRPr="00BB5A7C">
        <w:t xml:space="preserve">obrazložene u bilješkama uz obrazac Obveze. Obveze su uredno izvršavane u valuti što je i vidljivo iz pregleda dospjelih obveza. </w:t>
      </w:r>
    </w:p>
    <w:p w14:paraId="2F02B5B3" w14:textId="77777777" w:rsidR="008A3219" w:rsidRDefault="008A3219" w:rsidP="008A3219">
      <w:pPr>
        <w:jc w:val="both"/>
      </w:pPr>
      <w:r>
        <w:t>Na dan 31.12.2020. Grad Osijek nema dospjelih neplaćenih obveza.</w:t>
      </w:r>
    </w:p>
    <w:p w14:paraId="16015EF5" w14:textId="77777777" w:rsidR="00D96AF9" w:rsidRDefault="00D96AF9" w:rsidP="008A3219">
      <w:pPr>
        <w:jc w:val="both"/>
      </w:pPr>
      <w:r>
        <w:t>Obveze proračunskih korisnika na dan 31.12.2020. bile su 25.819.352 kn od čega:</w:t>
      </w:r>
    </w:p>
    <w:p w14:paraId="4DA4A90E" w14:textId="77777777" w:rsidR="00D96AF9" w:rsidRDefault="00D96AF9" w:rsidP="008A3219">
      <w:pPr>
        <w:jc w:val="both"/>
      </w:pPr>
      <w:r>
        <w:t>Dječji vrtić Osijek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5.282.044 kn</w:t>
      </w:r>
    </w:p>
    <w:p w14:paraId="40F665F0" w14:textId="77777777" w:rsidR="00D96AF9" w:rsidRDefault="00D96AF9" w:rsidP="008A3219">
      <w:pPr>
        <w:jc w:val="both"/>
      </w:pPr>
      <w:r>
        <w:t>Hrvatsko narodno kazalište u Osijeku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2.452.726 kn</w:t>
      </w:r>
    </w:p>
    <w:p w14:paraId="47B17896" w14:textId="77777777" w:rsidR="00D96AF9" w:rsidRDefault="00D96AF9" w:rsidP="008A3219">
      <w:pPr>
        <w:jc w:val="both"/>
      </w:pPr>
      <w:r>
        <w:t>Javna profesionalna vatrogasna postrojba Grada Osijeka</w:t>
      </w:r>
      <w:r>
        <w:tab/>
      </w:r>
      <w:r>
        <w:tab/>
      </w:r>
      <w:r>
        <w:tab/>
      </w:r>
      <w:r>
        <w:tab/>
        <w:t xml:space="preserve">     1.185.553 kn</w:t>
      </w:r>
    </w:p>
    <w:p w14:paraId="7E6BE882" w14:textId="77777777" w:rsidR="00D96AF9" w:rsidRDefault="00D96AF9" w:rsidP="008A3219">
      <w:pPr>
        <w:jc w:val="both"/>
      </w:pPr>
      <w:r>
        <w:t>Dječje kazalište Branka Mihaljevića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381.396 kn</w:t>
      </w:r>
    </w:p>
    <w:p w14:paraId="0CC3B126" w14:textId="77777777" w:rsidR="00D96AF9" w:rsidRDefault="00D96AF9" w:rsidP="008A3219">
      <w:pPr>
        <w:jc w:val="both"/>
      </w:pPr>
      <w:r>
        <w:t>Agencija za obnovu osječke Tvrđe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312.320 kn</w:t>
      </w:r>
    </w:p>
    <w:p w14:paraId="4A6FC443" w14:textId="77777777" w:rsidR="00D96AF9" w:rsidRDefault="00D96AF9" w:rsidP="008A3219">
      <w:pPr>
        <w:jc w:val="both"/>
      </w:pPr>
      <w:r>
        <w:t>Kulturni centar Osijek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201.378 kn</w:t>
      </w:r>
    </w:p>
    <w:p w14:paraId="3CC926CA" w14:textId="77777777" w:rsidR="00D96AF9" w:rsidRDefault="00D96AF9" w:rsidP="008A3219">
      <w:pPr>
        <w:jc w:val="both"/>
      </w:pPr>
      <w:r>
        <w:t>Gradske galerije Osijek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39.500 kn</w:t>
      </w:r>
    </w:p>
    <w:p w14:paraId="0BE1F52B" w14:textId="77777777" w:rsidR="00D96AF9" w:rsidRDefault="00D96AF9" w:rsidP="008A3219">
      <w:pPr>
        <w:jc w:val="both"/>
      </w:pPr>
      <w:r>
        <w:t>Osnovne škole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15.999.985 kn</w:t>
      </w:r>
    </w:p>
    <w:p w14:paraId="768727AB" w14:textId="77777777" w:rsidR="00D96AF9" w:rsidRDefault="00D96AF9" w:rsidP="008A3219">
      <w:pPr>
        <w:jc w:val="both"/>
      </w:pPr>
      <w:r>
        <w:t>Najvećim dijelom iskazane obveze su nedospjele obveze za isplatu plaće i režijske troškove za prosinac 2020.</w:t>
      </w:r>
      <w:r>
        <w:tab/>
      </w:r>
      <w:r>
        <w:tab/>
      </w:r>
      <w:r>
        <w:tab/>
      </w:r>
      <w:r>
        <w:tab/>
      </w:r>
      <w:r>
        <w:tab/>
      </w:r>
    </w:p>
    <w:p w14:paraId="3A09BC0A" w14:textId="77777777" w:rsidR="005C1099" w:rsidRDefault="005C1099" w:rsidP="008A3219">
      <w:pPr>
        <w:jc w:val="both"/>
      </w:pPr>
    </w:p>
    <w:p w14:paraId="227F9B49" w14:textId="77777777" w:rsidR="005C1099" w:rsidRDefault="005C1099" w:rsidP="008A3219">
      <w:pPr>
        <w:jc w:val="both"/>
      </w:pPr>
      <w:r w:rsidRPr="00D96AF9">
        <w:rPr>
          <w:b/>
        </w:rPr>
        <w:t>AOP 171</w:t>
      </w:r>
      <w:r>
        <w:tab/>
        <w:t>Obveze za zaposlene veće su za 1.083.010 kn ili 5,3% u odnosu na 01.01.2020.</w:t>
      </w:r>
    </w:p>
    <w:p w14:paraId="1474F638" w14:textId="77777777" w:rsidR="005C1099" w:rsidRDefault="005C1099" w:rsidP="008A3219">
      <w:pPr>
        <w:jc w:val="both"/>
      </w:pPr>
      <w:r>
        <w:t>Iskazano povećanje odnosi se na povećanje plaće za Grad Osijek u visini 3% koje je obračunavano počevši od siječnja 2020. te proračunske korisnike sukladno odredbama kolektivnih ugovora zaključenih s Gradom Osijekom ili zakonskih propisa kojima je isto regulirano.</w:t>
      </w:r>
    </w:p>
    <w:p w14:paraId="66168CBF" w14:textId="77777777" w:rsidR="008A3219" w:rsidRDefault="008A3219" w:rsidP="008A3219">
      <w:pPr>
        <w:jc w:val="both"/>
      </w:pPr>
    </w:p>
    <w:p w14:paraId="0A226364" w14:textId="77777777" w:rsidR="008A3219" w:rsidRDefault="008A3219" w:rsidP="008A3219">
      <w:pPr>
        <w:jc w:val="both"/>
      </w:pPr>
      <w:r w:rsidRPr="00BD6C96">
        <w:rPr>
          <w:b/>
        </w:rPr>
        <w:t>AOP 1</w:t>
      </w:r>
      <w:r>
        <w:rPr>
          <w:b/>
        </w:rPr>
        <w:t>72</w:t>
      </w:r>
      <w:r w:rsidR="00D96AF9">
        <w:t xml:space="preserve"> </w:t>
      </w:r>
      <w:r w:rsidR="00D96AF9">
        <w:tab/>
      </w:r>
      <w:r>
        <w:t xml:space="preserve">Obveze za materijalne rashode manje su za </w:t>
      </w:r>
      <w:r w:rsidR="005C1099">
        <w:t>5.735.731 kn</w:t>
      </w:r>
      <w:r>
        <w:t xml:space="preserve"> ili </w:t>
      </w:r>
      <w:r w:rsidR="000153E5">
        <w:t>35</w:t>
      </w:r>
      <w:r>
        <w:t>,</w:t>
      </w:r>
      <w:r w:rsidR="000153E5">
        <w:t>5</w:t>
      </w:r>
      <w:r>
        <w:t>%. Iskazane obveze odnose se na obveze za rashode za isporučenu energiju u prosincu 2020. u iznosu 776.590 kn, usluge tekućeg i investicijskog održavanja 3.605.548 kn, usluge deratizacije i druge zdravstvene usluge 903.294 kn, poticajnu naknadu za smanjenje količine miješanog otpada 921.924 kn i dr.</w:t>
      </w:r>
    </w:p>
    <w:p w14:paraId="644BAB4C" w14:textId="77777777" w:rsidR="000153E5" w:rsidRDefault="000153E5" w:rsidP="008A3219">
      <w:pPr>
        <w:jc w:val="both"/>
      </w:pPr>
      <w:r>
        <w:t>Obveze proračunskih korisnika uglavnom su režijski troškovi za prosinac 2020. i kod njih nema značajnijeg odstupanja.</w:t>
      </w:r>
    </w:p>
    <w:p w14:paraId="45F776C0" w14:textId="77777777" w:rsidR="008A3219" w:rsidRPr="00AC3462" w:rsidRDefault="008A3219" w:rsidP="008A3219">
      <w:pPr>
        <w:jc w:val="both"/>
        <w:rPr>
          <w:highlight w:val="yellow"/>
        </w:rPr>
      </w:pPr>
    </w:p>
    <w:p w14:paraId="41936C0E" w14:textId="77777777" w:rsidR="008A3219" w:rsidRDefault="008A3219" w:rsidP="008A3219">
      <w:pPr>
        <w:jc w:val="both"/>
      </w:pPr>
      <w:r w:rsidRPr="00BB5A7C">
        <w:rPr>
          <w:b/>
        </w:rPr>
        <w:t>AOP 1</w:t>
      </w:r>
      <w:r>
        <w:rPr>
          <w:b/>
        </w:rPr>
        <w:t>77</w:t>
      </w:r>
      <w:r w:rsidR="00D96AF9">
        <w:rPr>
          <w:b/>
        </w:rPr>
        <w:t xml:space="preserve"> </w:t>
      </w:r>
      <w:r w:rsidR="00D96AF9">
        <w:rPr>
          <w:b/>
        </w:rPr>
        <w:tab/>
      </w:r>
      <w:r w:rsidRPr="00BB5A7C">
        <w:t xml:space="preserve">Iskazano </w:t>
      </w:r>
      <w:r>
        <w:t>povećanje u</w:t>
      </w:r>
      <w:r w:rsidRPr="00BB5A7C">
        <w:t xml:space="preserve"> okviru ovoga AOP-a</w:t>
      </w:r>
      <w:r>
        <w:t xml:space="preserve"> iznosi 127.693 kn i vezano je za obvezu prijenosa sredstava partnerima na EU projektu. </w:t>
      </w:r>
    </w:p>
    <w:p w14:paraId="4FA539CA" w14:textId="77777777" w:rsidR="008A3219" w:rsidRDefault="008A3219" w:rsidP="008A3219">
      <w:pPr>
        <w:jc w:val="both"/>
      </w:pPr>
    </w:p>
    <w:p w14:paraId="10A6D905" w14:textId="77777777" w:rsidR="008A3219" w:rsidRDefault="008A3219" w:rsidP="008A3219">
      <w:pPr>
        <w:jc w:val="both"/>
      </w:pPr>
      <w:r w:rsidRPr="00933671">
        <w:rPr>
          <w:b/>
        </w:rPr>
        <w:t>AOP 180</w:t>
      </w:r>
      <w:r w:rsidR="00D96AF9">
        <w:t xml:space="preserve"> </w:t>
      </w:r>
      <w:r w:rsidR="00D96AF9">
        <w:tab/>
      </w:r>
      <w:r>
        <w:t xml:space="preserve">Povećanje u okviru ovoga AOP-a iznosi </w:t>
      </w:r>
      <w:r w:rsidR="000153E5">
        <w:t xml:space="preserve">9.360.141 kn od čega su obveze Grada Osijeka </w:t>
      </w:r>
      <w:r>
        <w:t>8.472.307 kn</w:t>
      </w:r>
      <w:r w:rsidR="000153E5">
        <w:t xml:space="preserve">  a proračunskih korisnika 887.834 kn.</w:t>
      </w:r>
      <w:r>
        <w:t xml:space="preserve"> Ukupno iskazane obveze iznose 1</w:t>
      </w:r>
      <w:r w:rsidR="000153E5">
        <w:t>8</w:t>
      </w:r>
      <w:r>
        <w:t>.</w:t>
      </w:r>
      <w:r w:rsidR="000153E5">
        <w:t>601</w:t>
      </w:r>
      <w:r>
        <w:t>.9</w:t>
      </w:r>
      <w:r w:rsidR="000153E5">
        <w:t>64</w:t>
      </w:r>
      <w:r>
        <w:t xml:space="preserve"> kn od čega su financijski najznačajnije:</w:t>
      </w:r>
    </w:p>
    <w:p w14:paraId="6BE0581A" w14:textId="77777777" w:rsidR="008A3219" w:rsidRDefault="008A3219" w:rsidP="008A3219">
      <w:pPr>
        <w:jc w:val="both"/>
      </w:pPr>
      <w:r>
        <w:t>-obveze za EU predujmove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9.577.895 kn</w:t>
      </w:r>
    </w:p>
    <w:p w14:paraId="18A0BBA2" w14:textId="77777777" w:rsidR="008A3219" w:rsidRDefault="008A3219" w:rsidP="008A3219">
      <w:pPr>
        <w:jc w:val="both"/>
      </w:pPr>
      <w:r>
        <w:lastRenderedPageBreak/>
        <w:t>-obveze za naplaćene jamčevine i depozite (gradski prihodi, javna nabava)</w:t>
      </w:r>
      <w:r>
        <w:tab/>
        <w:t>3.678.053 kn</w:t>
      </w:r>
    </w:p>
    <w:p w14:paraId="694AF5C3" w14:textId="77777777" w:rsidR="008A3219" w:rsidRDefault="008A3219" w:rsidP="008A3219">
      <w:pPr>
        <w:jc w:val="both"/>
      </w:pPr>
      <w:r>
        <w:t xml:space="preserve">-obveza poreza na dodanu vrijednost za prosinac 2020. </w:t>
      </w:r>
      <w:r>
        <w:tab/>
      </w:r>
      <w:r>
        <w:tab/>
      </w:r>
      <w:r>
        <w:tab/>
      </w:r>
      <w:r>
        <w:tab/>
        <w:t>2.111.492 kn</w:t>
      </w:r>
    </w:p>
    <w:p w14:paraId="7BC337B7" w14:textId="77777777" w:rsidR="008A3219" w:rsidRDefault="008A3219" w:rsidP="008A3219">
      <w:pPr>
        <w:jc w:val="both"/>
      </w:pPr>
    </w:p>
    <w:p w14:paraId="0B3D6DAE" w14:textId="77777777" w:rsidR="008A3219" w:rsidRDefault="008A3219" w:rsidP="008A3219">
      <w:pPr>
        <w:jc w:val="both"/>
      </w:pPr>
      <w:r w:rsidRPr="001E4BF2">
        <w:rPr>
          <w:b/>
        </w:rPr>
        <w:t>AOP 081</w:t>
      </w:r>
      <w:r>
        <w:t xml:space="preserve"> </w:t>
      </w:r>
      <w:r w:rsidR="00D96AF9">
        <w:tab/>
      </w:r>
      <w:r>
        <w:t>Obveze za nabavu nefinancijske imovine veće su za 1.</w:t>
      </w:r>
      <w:r w:rsidR="000153E5">
        <w:t>461</w:t>
      </w:r>
      <w:r>
        <w:t>.</w:t>
      </w:r>
      <w:r w:rsidR="000153E5">
        <w:t>395</w:t>
      </w:r>
      <w:r>
        <w:t xml:space="preserve"> kn ili 4</w:t>
      </w:r>
      <w:r w:rsidR="000153E5">
        <w:t>0</w:t>
      </w:r>
      <w:r>
        <w:t>,</w:t>
      </w:r>
      <w:r w:rsidR="000153E5">
        <w:t>9</w:t>
      </w:r>
      <w:r>
        <w:t xml:space="preserve">% i iznose </w:t>
      </w:r>
      <w:r w:rsidR="000153E5">
        <w:t xml:space="preserve">5.033.899 kn, od čega su </w:t>
      </w:r>
      <w:r>
        <w:t>4.893.377 kn</w:t>
      </w:r>
      <w:r w:rsidR="000153E5">
        <w:t xml:space="preserve"> obveze Grada Osijeka</w:t>
      </w:r>
      <w:r>
        <w:t>. Financijski najznačajnije su obveze za izgradnju stanova za socijalne skupine građana 1.127.091 kn, izgradnju cesta i semaforizaciju 894.516 kn, izgradnju krematorija 1.399.900 kn i dr.</w:t>
      </w:r>
      <w:r w:rsidR="000153E5">
        <w:t xml:space="preserve"> Kod proračunskih korisnika iskazane obveze uglavnom se odnose na nabavu opreme i namještaja za osnovne škole u prosincu 2020. (raspodjela sredstava za decentraliziranu funkciju osnovnog školstva).</w:t>
      </w:r>
    </w:p>
    <w:p w14:paraId="4EA56BF9" w14:textId="77777777" w:rsidR="00D96AF9" w:rsidRDefault="00D96AF9" w:rsidP="00D96AF9">
      <w:pPr>
        <w:jc w:val="both"/>
        <w:rPr>
          <w:b/>
        </w:rPr>
      </w:pPr>
    </w:p>
    <w:p w14:paraId="3B2C1F67" w14:textId="77777777" w:rsidR="00BD7374" w:rsidRDefault="00BD7374" w:rsidP="00D96AF9">
      <w:pPr>
        <w:jc w:val="both"/>
      </w:pPr>
      <w:r w:rsidRPr="00BB5A7C">
        <w:rPr>
          <w:b/>
        </w:rPr>
        <w:t>AOP 19</w:t>
      </w:r>
      <w:r>
        <w:rPr>
          <w:b/>
        </w:rPr>
        <w:t>8</w:t>
      </w:r>
      <w:r w:rsidR="00D96AF9">
        <w:rPr>
          <w:b/>
        </w:rPr>
        <w:t xml:space="preserve"> </w:t>
      </w:r>
      <w:r w:rsidR="00D96AF9">
        <w:rPr>
          <w:b/>
        </w:rPr>
        <w:tab/>
      </w:r>
      <w:r w:rsidRPr="00BB5A7C">
        <w:t>U okviru ovoga AOP-a iskazan</w:t>
      </w:r>
      <w:r>
        <w:t>e su ukupne obveze</w:t>
      </w:r>
      <w:r w:rsidRPr="00BB5A7C">
        <w:t xml:space="preserve"> </w:t>
      </w:r>
      <w:r>
        <w:t xml:space="preserve">za </w:t>
      </w:r>
      <w:r w:rsidRPr="00BB5A7C">
        <w:t>glavnic</w:t>
      </w:r>
      <w:r>
        <w:t>u</w:t>
      </w:r>
      <w:r w:rsidRPr="00BB5A7C">
        <w:t xml:space="preserve"> primljenih </w:t>
      </w:r>
      <w:r>
        <w:t>kredita. Vidljivo je povećanje nedospjelih obveza po kreditima u iznosu od 29.484.953 kn ili 21,8%. Isto proizlazi iz provedenog dugoročnog zaduživanja Grada Osijeka u 2020. i povlačenje dijela kreditnih sredstava temeljem ugovora zaključenih u 2018. i 2019. Temeljem navedenog povećane su kreditne obveze za 20.901.046 kn. Ugovarano je sukcesivno povlačenje kreditnih sredstava temeljem ispostavljenih računa i situacija dobavljača. Dospjele obveze za otplatu glavnice i kamata uredno su izvršavane. U 2020. Grad je realizirao beskamatni zajam Ministarstva financija temeljem odgođenih uplata i povrata po godišnjem obračunu poreza i prireza na dohodak u iznosu 23.677.264 kn. U 2020. izvršen je povrat u iznosu 15.093.357 kn te obveza povrata u 2021. iznosi 8.583.907 kn.</w:t>
      </w:r>
    </w:p>
    <w:p w14:paraId="26BD7422" w14:textId="77777777" w:rsidR="000153E5" w:rsidRDefault="000153E5" w:rsidP="00BD7374">
      <w:pPr>
        <w:ind w:firstLine="708"/>
        <w:jc w:val="both"/>
      </w:pPr>
      <w:r>
        <w:t xml:space="preserve">Obveze OŠ Višnjevac za nabavu kombi vozila u 2019. manje su za </w:t>
      </w:r>
      <w:r w:rsidR="00EA00CD">
        <w:t>29.651 kn i rezultat su izvršenih otplata po financijskom leasingu u 2020.</w:t>
      </w:r>
    </w:p>
    <w:p w14:paraId="4D1CFB4A" w14:textId="77777777" w:rsidR="00BD7374" w:rsidRPr="002C48B0" w:rsidRDefault="00BD7374" w:rsidP="00BD7374">
      <w:pPr>
        <w:jc w:val="both"/>
        <w:rPr>
          <w:b/>
        </w:rPr>
      </w:pPr>
      <w:r w:rsidRPr="002C48B0">
        <w:t xml:space="preserve">U nastavku dajemo </w:t>
      </w:r>
      <w:r>
        <w:t xml:space="preserve">pregled izvršenih zaduživanja i otplata po kratkoročnim i dugoročnim kreditima </w:t>
      </w:r>
      <w:r w:rsidRPr="002C48B0">
        <w:t>Grada Osijeka</w:t>
      </w:r>
      <w:r>
        <w:t>.</w:t>
      </w:r>
    </w:p>
    <w:p w14:paraId="6BE135E6" w14:textId="77777777" w:rsidR="00BD7374" w:rsidRPr="00426F2E" w:rsidRDefault="00BD7374" w:rsidP="00BD7374">
      <w:pPr>
        <w:jc w:val="both"/>
        <w:rPr>
          <w:b/>
          <w:highlight w:val="yellow"/>
        </w:rPr>
      </w:pPr>
    </w:p>
    <w:p w14:paraId="39DDA799" w14:textId="77777777" w:rsidR="00BD7374" w:rsidRDefault="00BD7374" w:rsidP="00BD7374">
      <w:pPr>
        <w:jc w:val="both"/>
        <w:rPr>
          <w:b/>
          <w:u w:val="single"/>
        </w:rPr>
      </w:pPr>
      <w:r w:rsidRPr="002C48B0">
        <w:rPr>
          <w:b/>
          <w:u w:val="single"/>
        </w:rPr>
        <w:t>Tuzemni kratkoročni krediti i zajmovi</w:t>
      </w:r>
    </w:p>
    <w:p w14:paraId="077379EB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418DDF9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uto"/>
        </w:rPr>
        <w:t>Temeljem raspisanog poziva za dostavu ponuda, 16. srpnja 2020. zaključen je Ugovor o kratkoročnom kunskom kreditu sa Zagrebačkom bankom d.d. Zagreb u</w:t>
      </w:r>
      <w:r w:rsidRPr="005B09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iznosu 10.000.000,00 kn s kamatnom stopom u visini 0,55% godišnje.</w:t>
      </w:r>
      <w:r w:rsidRPr="005B091D">
        <w:rPr>
          <w:rFonts w:ascii="Times New Roman" w:hAnsi="Times New Roman" w:cs="Times New Roman"/>
          <w:color w:val="auto"/>
        </w:rPr>
        <w:t xml:space="preserve"> U izvještajnom razdoblju Grad</w:t>
      </w:r>
      <w:r>
        <w:rPr>
          <w:rFonts w:ascii="Times New Roman" w:hAnsi="Times New Roman" w:cs="Times New Roman"/>
          <w:color w:val="auto"/>
        </w:rPr>
        <w:t xml:space="preserve"> nije izvršio povlačenje ugovorenih kreditnih sredstava.</w:t>
      </w:r>
    </w:p>
    <w:p w14:paraId="79087CBC" w14:textId="77777777" w:rsidR="00BD7374" w:rsidRPr="00B04374" w:rsidRDefault="00BD7374" w:rsidP="00BD737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2020. izvršen je povrat kratkoročnog kredita realiziranog u 2019. kod Erste&amp;Steiermarkische bank </w:t>
      </w:r>
      <w:r w:rsidR="00B75029">
        <w:rPr>
          <w:rFonts w:ascii="Times New Roman" w:hAnsi="Times New Roman" w:cs="Times New Roman"/>
        </w:rPr>
        <w:t>d.d.</w:t>
      </w:r>
      <w:r>
        <w:rPr>
          <w:rFonts w:ascii="Times New Roman" w:hAnsi="Times New Roman" w:cs="Times New Roman"/>
        </w:rPr>
        <w:t xml:space="preserve">  u iznosu 10.000.000 kn. Grad sredstva kratkoročnog kredita prvenstveno koristi za premošćenje jaza u dospijeću obveza i ostvarenju prihoda za projekte koji se sufinanciraju sredstvima Europskih fondova. U 2020.plaćene su kamate u iznosu 5.943 kn.</w:t>
      </w:r>
    </w:p>
    <w:p w14:paraId="55A62C0F" w14:textId="77777777" w:rsidR="00BD7374" w:rsidRPr="002C48B0" w:rsidRDefault="00BD7374" w:rsidP="00BD7374">
      <w:pPr>
        <w:jc w:val="both"/>
        <w:rPr>
          <w:b/>
          <w:u w:val="single"/>
        </w:rPr>
      </w:pPr>
    </w:p>
    <w:p w14:paraId="62F52DB7" w14:textId="77777777" w:rsidR="00BD7374" w:rsidRPr="00426F2E" w:rsidRDefault="00BD7374" w:rsidP="00BD7374">
      <w:pPr>
        <w:jc w:val="both"/>
        <w:rPr>
          <w:b/>
          <w:highlight w:val="yellow"/>
        </w:rPr>
      </w:pPr>
    </w:p>
    <w:p w14:paraId="72E79F64" w14:textId="77777777" w:rsidR="00BD7374" w:rsidRPr="00DC63E2" w:rsidRDefault="00BD7374" w:rsidP="00BD7374">
      <w:pPr>
        <w:jc w:val="both"/>
        <w:rPr>
          <w:b/>
          <w:u w:val="single"/>
        </w:rPr>
      </w:pPr>
      <w:r w:rsidRPr="006A4453">
        <w:rPr>
          <w:b/>
          <w:u w:val="single"/>
        </w:rPr>
        <w:t>Tuzemni dugoročni krediti i zajmovi</w:t>
      </w:r>
    </w:p>
    <w:p w14:paraId="3ADABE55" w14:textId="77777777" w:rsidR="00BD7374" w:rsidRPr="006A4453" w:rsidRDefault="00BD7374" w:rsidP="00BD7374"/>
    <w:p w14:paraId="74C49838" w14:textId="77777777" w:rsidR="00BD7374" w:rsidRPr="006A4453" w:rsidRDefault="00BD7374" w:rsidP="00BD7374">
      <w:pPr>
        <w:jc w:val="both"/>
      </w:pPr>
      <w:r>
        <w:t>1</w:t>
      </w:r>
      <w:r w:rsidRPr="006A4453">
        <w:t>.</w:t>
      </w:r>
      <w:r w:rsidRPr="006A4453">
        <w:tab/>
        <w:t>Ugovor o kreditu između Grada Osijeka i Privredne banke Zagreb d.d.</w:t>
      </w:r>
      <w:r>
        <w:t xml:space="preserve"> na iznos 35.000.000 kn</w:t>
      </w:r>
      <w:r w:rsidRPr="006A4453">
        <w:t xml:space="preserve"> zaključen je </w:t>
      </w:r>
      <w:r>
        <w:t xml:space="preserve">u 08.04.2011. </w:t>
      </w:r>
      <w:r w:rsidRPr="006A4453">
        <w:t>Kredit je utrošen za financiranje sljedećih investicija:</w:t>
      </w:r>
    </w:p>
    <w:p w14:paraId="35109847" w14:textId="77777777" w:rsidR="00BD7374" w:rsidRPr="006A4453" w:rsidRDefault="00BD7374" w:rsidP="00BD7374">
      <w:pPr>
        <w:jc w:val="both"/>
      </w:pPr>
      <w:r w:rsidRPr="006A4453">
        <w:t>Rekonstrukcija Trga slobode u Osijeku</w:t>
      </w:r>
    </w:p>
    <w:p w14:paraId="58AEA00D" w14:textId="77777777" w:rsidR="00BD7374" w:rsidRPr="006A4453" w:rsidRDefault="00BD7374" w:rsidP="00BD7374">
      <w:pPr>
        <w:jc w:val="both"/>
      </w:pPr>
      <w:r w:rsidRPr="006A4453">
        <w:t>Izgradnja S ceste u Osijeku</w:t>
      </w:r>
    </w:p>
    <w:p w14:paraId="3E3EFEC5" w14:textId="77777777" w:rsidR="00BD7374" w:rsidRPr="006A4453" w:rsidRDefault="00BD7374" w:rsidP="00BD7374">
      <w:pPr>
        <w:jc w:val="both"/>
      </w:pPr>
      <w:r w:rsidRPr="006A4453">
        <w:t>Rekonstrukcija športskih objekata (Srednjoškolsko igralište)</w:t>
      </w:r>
    </w:p>
    <w:p w14:paraId="11C0A290" w14:textId="77777777" w:rsidR="00BD7374" w:rsidRPr="006A4453" w:rsidRDefault="00BD7374" w:rsidP="00BD7374">
      <w:pPr>
        <w:jc w:val="both"/>
      </w:pPr>
      <w:r w:rsidRPr="006A4453">
        <w:t>Izgradnja građevinskih objekata u industrijskoj zoni Nemetin</w:t>
      </w:r>
    </w:p>
    <w:p w14:paraId="26291D5F" w14:textId="77777777" w:rsidR="00BD7374" w:rsidRPr="006A4453" w:rsidRDefault="00BD7374" w:rsidP="00BD7374">
      <w:pPr>
        <w:jc w:val="both"/>
      </w:pPr>
      <w:r w:rsidRPr="006A4453">
        <w:t>Otplata se vrši u tromjesečnim ratama, ugovorena kamatna stopa je tromjesečni EURIBOR+2,80% godišnje, promjenjiva.</w:t>
      </w:r>
    </w:p>
    <w:p w14:paraId="12587BB0" w14:textId="77777777" w:rsidR="00BD7374" w:rsidRDefault="00BD7374" w:rsidP="00BD7374">
      <w:pPr>
        <w:jc w:val="both"/>
      </w:pPr>
      <w:r w:rsidRPr="006A4453">
        <w:lastRenderedPageBreak/>
        <w:t>Rok otplate kredita je 15 godina uključujući dvije godine počeka (računajući od dana prijenosa kredita u otplatu) odnosno 2026. godina.</w:t>
      </w:r>
    </w:p>
    <w:p w14:paraId="678DCEED" w14:textId="77777777" w:rsidR="00BD7374" w:rsidRPr="006A4453" w:rsidRDefault="00BD7374" w:rsidP="00BD7374">
      <w:pPr>
        <w:jc w:val="both"/>
      </w:pPr>
      <w:r>
        <w:t>U 2020. izvršena je otplata glavnice u iznosu od 2.682.818 kn i kamata u iznosu od 425.321 kn. Usklađenje nedospjele glavnice kredita s tečajem na dan 31.12.2020. izvršeno je u iznosu 234.865 kn Nedospjela glavnica na dan 31.12.2020. iznosi 15.374.420 kn.</w:t>
      </w:r>
    </w:p>
    <w:p w14:paraId="46483895" w14:textId="77777777" w:rsidR="00BD7374" w:rsidRPr="00426F2E" w:rsidRDefault="00BD7374" w:rsidP="00BD7374">
      <w:pPr>
        <w:jc w:val="center"/>
        <w:rPr>
          <w:b/>
          <w:sz w:val="28"/>
          <w:highlight w:val="yellow"/>
        </w:rPr>
      </w:pPr>
    </w:p>
    <w:p w14:paraId="5BAF87D7" w14:textId="77777777" w:rsidR="00BD7374" w:rsidRPr="006A4453" w:rsidRDefault="00BD7374" w:rsidP="00BD7374">
      <w:pPr>
        <w:jc w:val="both"/>
      </w:pPr>
      <w:r>
        <w:t>2</w:t>
      </w:r>
      <w:r w:rsidRPr="000B3A91">
        <w:t>.</w:t>
      </w:r>
      <w:r w:rsidRPr="006A4453">
        <w:rPr>
          <w:b/>
        </w:rPr>
        <w:tab/>
      </w:r>
      <w:r w:rsidRPr="006A4453">
        <w:t>Ugovor o kreditu između Grada Osijeka i Zagrebačke banke d.d.Zagreb</w:t>
      </w:r>
      <w:r>
        <w:t xml:space="preserve"> na iznos 35.000.000 kn</w:t>
      </w:r>
      <w:r w:rsidRPr="006A4453">
        <w:t xml:space="preserve"> zaključen je 03.06.2011. godine. Kredit je utrošen za financiranje sljedećih investicija:</w:t>
      </w:r>
    </w:p>
    <w:p w14:paraId="77FB2988" w14:textId="77777777" w:rsidR="00BD7374" w:rsidRPr="006A4453" w:rsidRDefault="00BD7374" w:rsidP="00BD7374">
      <w:pPr>
        <w:jc w:val="both"/>
      </w:pPr>
      <w:r w:rsidRPr="006A4453">
        <w:t xml:space="preserve">Izgradnja Trga Jug II </w:t>
      </w:r>
      <w:r w:rsidRPr="006A4453">
        <w:tab/>
      </w:r>
      <w:r w:rsidRPr="006A4453">
        <w:tab/>
      </w:r>
      <w:r w:rsidRPr="006A4453">
        <w:tab/>
      </w:r>
      <w:r w:rsidRPr="006A4453">
        <w:tab/>
      </w:r>
      <w:r w:rsidRPr="006A4453">
        <w:tab/>
      </w:r>
    </w:p>
    <w:p w14:paraId="79752BDB" w14:textId="77777777" w:rsidR="00BD7374" w:rsidRPr="006A4453" w:rsidRDefault="00BD7374" w:rsidP="00BD7374">
      <w:pPr>
        <w:jc w:val="both"/>
      </w:pPr>
      <w:r w:rsidRPr="006A4453">
        <w:t>Izgradnja društvenih domova</w:t>
      </w:r>
      <w:r w:rsidRPr="006A4453">
        <w:tab/>
      </w:r>
      <w:r w:rsidRPr="006A4453">
        <w:tab/>
      </w:r>
    </w:p>
    <w:p w14:paraId="1F206EAA" w14:textId="77777777" w:rsidR="00BD7374" w:rsidRPr="006A4453" w:rsidRDefault="00BD7374" w:rsidP="00BD7374">
      <w:pPr>
        <w:jc w:val="both"/>
      </w:pPr>
      <w:r w:rsidRPr="006A4453">
        <w:t xml:space="preserve">Izgradnja tramvajske pruge ul. Bana Jelačića         </w:t>
      </w:r>
    </w:p>
    <w:p w14:paraId="3A423E35" w14:textId="77777777" w:rsidR="00BD7374" w:rsidRPr="006A4453" w:rsidRDefault="00BD7374" w:rsidP="00BD7374">
      <w:pPr>
        <w:jc w:val="both"/>
      </w:pPr>
      <w:r w:rsidRPr="006A4453">
        <w:t>Izgradnja/ulaganje u osnovne škole</w:t>
      </w:r>
      <w:r w:rsidRPr="006A4453">
        <w:tab/>
      </w:r>
      <w:r w:rsidRPr="006A4453">
        <w:tab/>
      </w:r>
    </w:p>
    <w:p w14:paraId="1A5957EA" w14:textId="77777777" w:rsidR="00BD7374" w:rsidRPr="006A4453" w:rsidRDefault="00BD7374" w:rsidP="00BD7374">
      <w:pPr>
        <w:jc w:val="both"/>
      </w:pPr>
      <w:r w:rsidRPr="006A4453">
        <w:t>Otplata se vrši u tromjesečnim ratama, ugovorena kamatna stopa je  tromjesečni EURIBOR+1,99% godišnje, promjenjiva.</w:t>
      </w:r>
    </w:p>
    <w:p w14:paraId="708E6B9F" w14:textId="77777777" w:rsidR="00BD7374" w:rsidRPr="006A4453" w:rsidRDefault="00BD7374" w:rsidP="00BD7374">
      <w:pPr>
        <w:jc w:val="both"/>
      </w:pPr>
      <w:r w:rsidRPr="006A4453">
        <w:t>Rok otplate kredita je 15 godina uključujući dvije godine počeka (računajući od dana prijenosa kredita u otplatu), odnosno 2027. godina.</w:t>
      </w:r>
    </w:p>
    <w:p w14:paraId="22C394C5" w14:textId="77777777" w:rsidR="00BD7374" w:rsidRPr="006A4453" w:rsidRDefault="00BD7374" w:rsidP="00BD7374">
      <w:pPr>
        <w:jc w:val="both"/>
      </w:pPr>
      <w:r>
        <w:t>U 2020. godini izvršena je otplata glavnice u iznosu od 2.713.560 kn i kamata u iznosu od 326</w:t>
      </w:r>
      <w:r w:rsidRPr="00DC63E2">
        <w:t>.</w:t>
      </w:r>
      <w:r>
        <w:t>686</w:t>
      </w:r>
      <w:r w:rsidRPr="00DC63E2">
        <w:t xml:space="preserve"> kn.</w:t>
      </w:r>
      <w:r>
        <w:t xml:space="preserve"> Usklađenje nedospjele glavnice kredita s tečajem na dan 31.12.2020. izvršeno je u iznosu 260.866 kn. Nedospjela glavnica na dan 31.12.2020. iznosi 18.333.077 kn.</w:t>
      </w:r>
    </w:p>
    <w:p w14:paraId="442F1385" w14:textId="77777777" w:rsidR="00BD7374" w:rsidRPr="00DC63E2" w:rsidRDefault="00BD7374" w:rsidP="00BD7374">
      <w:pPr>
        <w:jc w:val="both"/>
      </w:pPr>
    </w:p>
    <w:p w14:paraId="5D0CB9DE" w14:textId="77777777" w:rsidR="00BD7374" w:rsidRPr="006A4453" w:rsidRDefault="00BD7374" w:rsidP="00BD7374">
      <w:pPr>
        <w:jc w:val="both"/>
      </w:pPr>
      <w:r>
        <w:t>3</w:t>
      </w:r>
      <w:r w:rsidRPr="006A4453">
        <w:t>.</w:t>
      </w:r>
      <w:r w:rsidRPr="006A4453">
        <w:tab/>
        <w:t xml:space="preserve">Ugovor o kreditu između Grada Osijeka </w:t>
      </w:r>
      <w:r>
        <w:t>i OTP banke d.d. na iznos</w:t>
      </w:r>
      <w:r w:rsidRPr="006A4453">
        <w:t xml:space="preserve"> 15.000.000 kn </w:t>
      </w:r>
      <w:r>
        <w:t xml:space="preserve">zaključen je </w:t>
      </w:r>
      <w:r w:rsidRPr="006A4453">
        <w:t>dana 01.08.2014. za financiranje sljedećih investicija:</w:t>
      </w:r>
    </w:p>
    <w:p w14:paraId="4C4370B6" w14:textId="77777777" w:rsidR="00BD7374" w:rsidRPr="006A4453" w:rsidRDefault="00BD7374" w:rsidP="00BD7374">
      <w:pPr>
        <w:jc w:val="both"/>
      </w:pPr>
      <w:r w:rsidRPr="006A4453">
        <w:t xml:space="preserve">Završetak tramvajske pruge u ulici Bana Jelačića, </w:t>
      </w:r>
    </w:p>
    <w:p w14:paraId="5247C1A5" w14:textId="77777777" w:rsidR="00BD7374" w:rsidRPr="006A4453" w:rsidRDefault="00BD7374" w:rsidP="00BD7374">
      <w:pPr>
        <w:jc w:val="both"/>
      </w:pPr>
      <w:r w:rsidRPr="006A4453">
        <w:t xml:space="preserve">Turbo kružni tok, </w:t>
      </w:r>
    </w:p>
    <w:p w14:paraId="25DCB461" w14:textId="77777777" w:rsidR="00BD7374" w:rsidRPr="006A4453" w:rsidRDefault="00BD7374" w:rsidP="00BD7374">
      <w:pPr>
        <w:jc w:val="both"/>
      </w:pPr>
      <w:r w:rsidRPr="006A4453">
        <w:t>Izgradnja prilazne ceste i javnih površina u Campusu Sveučilišta J.J.Strossmayera</w:t>
      </w:r>
    </w:p>
    <w:p w14:paraId="1F00B41F" w14:textId="77777777" w:rsidR="00BD7374" w:rsidRPr="006A4453" w:rsidRDefault="00BD7374" w:rsidP="00BD7374">
      <w:pPr>
        <w:jc w:val="both"/>
      </w:pPr>
      <w:r w:rsidRPr="006A4453">
        <w:t>Izgradnja intrazonske ceste Jug II</w:t>
      </w:r>
    </w:p>
    <w:p w14:paraId="790ADCA7" w14:textId="77777777" w:rsidR="00BD7374" w:rsidRPr="006A4453" w:rsidRDefault="00BD7374" w:rsidP="00BD7374">
      <w:pPr>
        <w:jc w:val="both"/>
      </w:pPr>
      <w:r w:rsidRPr="006A4453">
        <w:t>Izgradnja biciklističkih staza Vinkovačka –Antunovac i Sv. L.B.Mandića</w:t>
      </w:r>
    </w:p>
    <w:p w14:paraId="30BFF93E" w14:textId="77777777" w:rsidR="00BD7374" w:rsidRDefault="00BD7374" w:rsidP="00BD7374">
      <w:pPr>
        <w:jc w:val="both"/>
      </w:pPr>
      <w:r w:rsidRPr="006A4453">
        <w:t xml:space="preserve"> Rok otplate kredita je 15 godina uključujući jednu godinu počeka, visina kamatne stope 3,95%. </w:t>
      </w:r>
      <w:r>
        <w:t>Stanje realiziranog kredita na dan 31.12.2016. bilo je 12.069.342 kn</w:t>
      </w:r>
      <w:r w:rsidRPr="006A4453">
        <w:t>.</w:t>
      </w:r>
      <w:r>
        <w:t xml:space="preserve"> Obzirom da se u ugovorenom roku za povlačenje kredita nisu osigurala cjelokupna sredstva potrebna za </w:t>
      </w:r>
    </w:p>
    <w:p w14:paraId="4FC97BB1" w14:textId="77777777" w:rsidR="00BD7374" w:rsidRDefault="00BD7374" w:rsidP="00BD7374">
      <w:pPr>
        <w:jc w:val="both"/>
      </w:pPr>
      <w:r>
        <w:t>financiranje Intrazonske ceste JUG II, odustalo se od navedene investicije te kreditna sredstva nisu realizirana u cijelosti.</w:t>
      </w:r>
    </w:p>
    <w:p w14:paraId="7F9B09AB" w14:textId="77777777" w:rsidR="00BD7374" w:rsidRPr="006A4453" w:rsidRDefault="00BD7374" w:rsidP="00BD7374">
      <w:pPr>
        <w:jc w:val="both"/>
      </w:pPr>
      <w:r>
        <w:t xml:space="preserve">U 2020. godini izvršena je otplata glavnice u iznosu od 862.852 kn i kamata u iznosu od </w:t>
      </w:r>
      <w:r w:rsidRPr="00DC63E2">
        <w:t>3</w:t>
      </w:r>
      <w:r>
        <w:t>50</w:t>
      </w:r>
      <w:r w:rsidRPr="00DC63E2">
        <w:t>.</w:t>
      </w:r>
      <w:r>
        <w:t>490</w:t>
      </w:r>
      <w:r w:rsidRPr="00DC63E2">
        <w:t xml:space="preserve"> kn.</w:t>
      </w:r>
      <w:r w:rsidRPr="00D73F2F">
        <w:t xml:space="preserve"> </w:t>
      </w:r>
      <w:r>
        <w:t>Usklađenje nedospjele glavnice kredita s tečajem na dan 31.12.2020. izvršeno je u iznosu 116.017 kn. Nedospjela glavnica na dan 31.12.2020. iznosi 8.168.235 kn.</w:t>
      </w:r>
    </w:p>
    <w:p w14:paraId="79CED330" w14:textId="77777777" w:rsidR="00BD7374" w:rsidRPr="00D16F5D" w:rsidRDefault="00BD7374" w:rsidP="00BD7374">
      <w:pPr>
        <w:jc w:val="both"/>
      </w:pPr>
    </w:p>
    <w:p w14:paraId="0E88D233" w14:textId="77777777" w:rsidR="00BD7374" w:rsidRDefault="00BD7374" w:rsidP="00BD7374">
      <w:pPr>
        <w:pStyle w:val="Tijeloteksta-uvlaka2"/>
        <w:spacing w:after="0" w:line="240" w:lineRule="auto"/>
        <w:ind w:left="0"/>
        <w:jc w:val="both"/>
      </w:pPr>
      <w:r>
        <w:t>4.</w:t>
      </w:r>
      <w:r>
        <w:tab/>
      </w:r>
      <w:r w:rsidRPr="006A4453">
        <w:t>Ugovor o kreditu između Grada Osijeka i Zagrebačke banke d.d.Zagreb</w:t>
      </w:r>
      <w:r>
        <w:t xml:space="preserve"> na iznos  15.000.000 kn zaključen je </w:t>
      </w:r>
      <w:r w:rsidRPr="006A4453">
        <w:t xml:space="preserve">dana </w:t>
      </w:r>
      <w:r>
        <w:t>28</w:t>
      </w:r>
      <w:r w:rsidRPr="006A4453">
        <w:t>.0</w:t>
      </w:r>
      <w:r>
        <w:t>4</w:t>
      </w:r>
      <w:r w:rsidRPr="006A4453">
        <w:t>.201</w:t>
      </w:r>
      <w:r>
        <w:t>7</w:t>
      </w:r>
      <w:r w:rsidRPr="006A4453">
        <w:t>. za financiranje sljedećih investicija</w:t>
      </w:r>
      <w:r>
        <w:t>:</w:t>
      </w:r>
    </w:p>
    <w:p w14:paraId="31F4A873" w14:textId="77777777" w:rsidR="00BD7374" w:rsidRPr="00BC7547" w:rsidRDefault="00BD7374" w:rsidP="00BD7374">
      <w:pPr>
        <w:jc w:val="both"/>
      </w:pPr>
      <w:r>
        <w:t>Javna rasvjeta Osijek – Tenja</w:t>
      </w:r>
    </w:p>
    <w:p w14:paraId="11EF06EB" w14:textId="77777777" w:rsidR="00BD7374" w:rsidRPr="00BC7547" w:rsidRDefault="00BD7374" w:rsidP="00BD7374">
      <w:pPr>
        <w:jc w:val="both"/>
      </w:pPr>
      <w:r>
        <w:t>Zelena ulica, Briješće I i II</w:t>
      </w:r>
    </w:p>
    <w:p w14:paraId="19E90F42" w14:textId="77777777" w:rsidR="00BD7374" w:rsidRDefault="00BD7374" w:rsidP="00BD7374">
      <w:pPr>
        <w:jc w:val="both"/>
      </w:pPr>
      <w:r>
        <w:t>Rekonstrukcija Trpimirove s raskrižjima (kružnim tokovima)</w:t>
      </w:r>
    </w:p>
    <w:p w14:paraId="1CFB1F0F" w14:textId="77777777" w:rsidR="00BD7374" w:rsidRPr="00F971DD" w:rsidRDefault="00BD7374" w:rsidP="00BD7374">
      <w:pPr>
        <w:jc w:val="both"/>
      </w:pPr>
      <w:r>
        <w:t>Izgradnja ceste u Južnom stadionskom naselju, I faza</w:t>
      </w:r>
    </w:p>
    <w:p w14:paraId="68E3523F" w14:textId="77777777" w:rsidR="00BD7374" w:rsidRDefault="00BD7374" w:rsidP="00BD7374">
      <w:pPr>
        <w:jc w:val="both"/>
      </w:pPr>
      <w:r>
        <w:t>Izgradnja/ulaganje u osnovne škole OŠ Tenja</w:t>
      </w:r>
    </w:p>
    <w:p w14:paraId="73D725E2" w14:textId="77777777" w:rsidR="00BD7374" w:rsidRDefault="00BD7374" w:rsidP="00BD7374">
      <w:pPr>
        <w:jc w:val="both"/>
      </w:pPr>
      <w:r>
        <w:t>Izgradnja biciklističkih staza</w:t>
      </w:r>
    </w:p>
    <w:p w14:paraId="1FD537A1" w14:textId="77777777" w:rsidR="00BD7374" w:rsidRDefault="00BD7374" w:rsidP="00BD7374">
      <w:pPr>
        <w:jc w:val="both"/>
      </w:pPr>
      <w:r>
        <w:t>Izgradnja i uređenje trga uz Paviljon Gradski vrt</w:t>
      </w:r>
    </w:p>
    <w:p w14:paraId="51C3DDF3" w14:textId="77777777" w:rsidR="00BD7374" w:rsidRDefault="00BD7374" w:rsidP="00BD7374">
      <w:pPr>
        <w:jc w:val="both"/>
      </w:pPr>
      <w:r>
        <w:lastRenderedPageBreak/>
        <w:t>Industrijska zona Nemetin - ulaganja u infrastrukturu</w:t>
      </w:r>
    </w:p>
    <w:p w14:paraId="62269189" w14:textId="77777777" w:rsidR="00BD7374" w:rsidRPr="00D16F5D" w:rsidRDefault="00BD7374" w:rsidP="00BD7374">
      <w:pPr>
        <w:pStyle w:val="Tijeloteksta-uvlaka2"/>
        <w:spacing w:after="0" w:line="240" w:lineRule="auto"/>
        <w:ind w:left="0"/>
        <w:jc w:val="both"/>
      </w:pPr>
      <w:r>
        <w:t>Ugovorena</w:t>
      </w:r>
      <w:r w:rsidRPr="00D16F5D">
        <w:t xml:space="preserve"> kamatna stopa iznosi 2,45% nominalna, odnosno 2,53% efektivna.</w:t>
      </w:r>
      <w:r>
        <w:t xml:space="preserve"> Rok otplate kredita je 10 godina.</w:t>
      </w:r>
    </w:p>
    <w:p w14:paraId="7CAA21F0" w14:textId="77777777" w:rsidR="00BD7374" w:rsidRPr="006A4453" w:rsidRDefault="00BD7374" w:rsidP="00BD7374">
      <w:pPr>
        <w:jc w:val="both"/>
      </w:pPr>
      <w:r>
        <w:t>K</w:t>
      </w:r>
      <w:r w:rsidRPr="00D16F5D">
        <w:t xml:space="preserve">reditna sredstva </w:t>
      </w:r>
      <w:r>
        <w:t xml:space="preserve">su realizirana </w:t>
      </w:r>
      <w:r w:rsidRPr="00D16F5D">
        <w:t xml:space="preserve">u svoti od </w:t>
      </w:r>
      <w:r>
        <w:t>13.000.000 kn od čega 8.315.362</w:t>
      </w:r>
      <w:r w:rsidRPr="00D16F5D">
        <w:t xml:space="preserve"> kn</w:t>
      </w:r>
      <w:r>
        <w:t xml:space="preserve"> u 2017., </w:t>
      </w:r>
      <w:r w:rsidRPr="00D16F5D">
        <w:t xml:space="preserve"> </w:t>
      </w:r>
      <w:r>
        <w:t>3.801.350 kn u 2018. i 883.289 kn u 2019. Preostala kreditna sredstva nisu realizirana jer se u planiranu investiciju u Industrijsku zonu Nemetin nije moglo krenuti u ugovorenim rokovima povlačenja kredita. U 2020. izvršena je otplata glavnice u iznosu 1.300.000 kn i  kamata u iznosu od 304.313 kn. Nedospjela glavnica na dan 31.12.2020. iznosi 11.375.000 kn.</w:t>
      </w:r>
    </w:p>
    <w:p w14:paraId="25E4E6FB" w14:textId="77777777" w:rsidR="00BD7374" w:rsidRPr="009E3705" w:rsidRDefault="00BD7374" w:rsidP="00BD7374">
      <w:pPr>
        <w:pStyle w:val="Tijeloteksta-uvlaka2"/>
        <w:spacing w:after="0" w:line="240" w:lineRule="auto"/>
        <w:ind w:left="0"/>
        <w:jc w:val="both"/>
      </w:pPr>
    </w:p>
    <w:p w14:paraId="597DE926" w14:textId="77777777" w:rsidR="00BD7374" w:rsidRPr="006A4453" w:rsidRDefault="00BD7374" w:rsidP="00BD7374">
      <w:pPr>
        <w:jc w:val="both"/>
      </w:pPr>
      <w:r>
        <w:t>5.</w:t>
      </w:r>
      <w:r>
        <w:tab/>
      </w:r>
      <w:r w:rsidRPr="006A4453">
        <w:t xml:space="preserve">Ugovor o kreditu između Grada Osijeka </w:t>
      </w:r>
      <w:r>
        <w:t>i OTP banke d.d. na iznos 4.000.000</w:t>
      </w:r>
      <w:r w:rsidRPr="00D16F5D">
        <w:t xml:space="preserve"> kn za sufinanciranje EU projekta obnove objekta Stare pekare i Trga Vatroslava Lisinskog u Tvrđi, </w:t>
      </w:r>
      <w:r>
        <w:t>zaključen je 28.04.2017.</w:t>
      </w:r>
      <w:r w:rsidRPr="00D16F5D">
        <w:t xml:space="preserve"> </w:t>
      </w:r>
      <w:r>
        <w:t>K</w:t>
      </w:r>
      <w:r w:rsidRPr="00D16F5D">
        <w:t xml:space="preserve">amatna stopa je 1,84% nominalna, odnosno 2,01% efektivna. </w:t>
      </w:r>
      <w:r>
        <w:t>Rok otplate kredita je 5 godina. Kredit je realiziran u cijelosti. U 2020. izvršena je otplata glavnice u iznosu 800.000 kn i kamata u iznosu od 54</w:t>
      </w:r>
      <w:r w:rsidRPr="009E3705">
        <w:t>.</w:t>
      </w:r>
      <w:r>
        <w:t>229</w:t>
      </w:r>
      <w:r w:rsidRPr="009E3705">
        <w:t xml:space="preserve"> kn.</w:t>
      </w:r>
      <w:r>
        <w:t xml:space="preserve"> Nedospjela glavnica na dan 31.12.2020. iznosi 2.400.000 kn.</w:t>
      </w:r>
    </w:p>
    <w:p w14:paraId="4E6638F6" w14:textId="77777777" w:rsidR="00BD7374" w:rsidRPr="009E3705" w:rsidRDefault="00BD7374" w:rsidP="00BD7374">
      <w:pPr>
        <w:pStyle w:val="Tijeloteksta-uvlaka2"/>
        <w:spacing w:after="0" w:line="240" w:lineRule="auto"/>
        <w:ind w:left="0"/>
        <w:jc w:val="both"/>
      </w:pPr>
    </w:p>
    <w:p w14:paraId="42A40D42" w14:textId="77777777" w:rsidR="00BD7374" w:rsidRDefault="00BD7374" w:rsidP="00BD7374">
      <w:pPr>
        <w:pStyle w:val="Obini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052B93">
        <w:rPr>
          <w:rFonts w:ascii="Times New Roman" w:hAnsi="Times New Roman" w:cs="Times New Roman"/>
          <w:sz w:val="24"/>
          <w:szCs w:val="24"/>
        </w:rPr>
        <w:t>Ugovor o kreditu između Grada Osijeka i Zagrebačke</w:t>
      </w:r>
      <w:r w:rsidRPr="00CD4E19">
        <w:rPr>
          <w:rFonts w:ascii="Times New Roman" w:hAnsi="Times New Roman"/>
          <w:sz w:val="24"/>
          <w:szCs w:val="24"/>
        </w:rPr>
        <w:t xml:space="preserve"> banke d.d. </w:t>
      </w:r>
      <w:r>
        <w:rPr>
          <w:rFonts w:ascii="Times New Roman" w:hAnsi="Times New Roman"/>
          <w:sz w:val="24"/>
          <w:szCs w:val="24"/>
        </w:rPr>
        <w:t>na iznos 45.000.000</w:t>
      </w:r>
      <w:r w:rsidRPr="00CD4E19">
        <w:rPr>
          <w:rFonts w:ascii="Times New Roman" w:hAnsi="Times New Roman"/>
          <w:sz w:val="24"/>
          <w:szCs w:val="24"/>
        </w:rPr>
        <w:t xml:space="preserve"> kn </w:t>
      </w:r>
      <w:r>
        <w:rPr>
          <w:rFonts w:ascii="Times New Roman" w:hAnsi="Times New Roman"/>
          <w:sz w:val="24"/>
          <w:szCs w:val="24"/>
        </w:rPr>
        <w:t xml:space="preserve">zaključen je 25.04.2018. </w:t>
      </w:r>
      <w:r w:rsidRPr="00CD4E1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financiranje </w:t>
      </w:r>
      <w:r w:rsidRPr="00CD4E19">
        <w:rPr>
          <w:rFonts w:ascii="Times New Roman" w:hAnsi="Times New Roman"/>
          <w:sz w:val="24"/>
          <w:szCs w:val="24"/>
        </w:rPr>
        <w:t>sljedeć</w:t>
      </w:r>
      <w:r>
        <w:rPr>
          <w:rFonts w:ascii="Times New Roman" w:hAnsi="Times New Roman"/>
          <w:sz w:val="24"/>
          <w:szCs w:val="24"/>
        </w:rPr>
        <w:t>ih</w:t>
      </w:r>
      <w:r w:rsidRPr="00CD4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investicija</w:t>
      </w:r>
      <w:r w:rsidRPr="00CD4E19">
        <w:rPr>
          <w:rFonts w:ascii="Times New Roman" w:hAnsi="Times New Roman"/>
          <w:sz w:val="24"/>
          <w:szCs w:val="24"/>
        </w:rPr>
        <w:t>:</w:t>
      </w:r>
    </w:p>
    <w:p w14:paraId="2A9D794A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školskih prostora – OŠ Tenja</w:t>
      </w:r>
    </w:p>
    <w:p w14:paraId="7642DD54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školskih prostora – OŠ Briješće</w:t>
      </w:r>
    </w:p>
    <w:p w14:paraId="7E31CA5C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DV u Višnjevcu</w:t>
      </w:r>
    </w:p>
    <w:p w14:paraId="572D2C86" w14:textId="77777777" w:rsidR="00BD7374" w:rsidRPr="00CD4E19" w:rsidRDefault="00BD7374" w:rsidP="00BD7374">
      <w:pPr>
        <w:jc w:val="both"/>
        <w:rPr>
          <w:color w:val="000000"/>
        </w:rPr>
      </w:pPr>
      <w:r>
        <w:rPr>
          <w:color w:val="000000"/>
        </w:rPr>
        <w:t>Uređenje Kulturnog centra Osijek</w:t>
      </w:r>
    </w:p>
    <w:p w14:paraId="7B11E951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prometnice u Podravlju</w:t>
      </w:r>
    </w:p>
    <w:p w14:paraId="7930C40E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ceste u Poštanskom naselju</w:t>
      </w:r>
    </w:p>
    <w:p w14:paraId="5EDE4233" w14:textId="77777777" w:rsidR="00BD7374" w:rsidRDefault="00BD7374" w:rsidP="00BD7374">
      <w:pPr>
        <w:pStyle w:val="Tijeloteksta-uvlaka2"/>
        <w:spacing w:after="0" w:line="240" w:lineRule="auto"/>
        <w:ind w:left="0"/>
        <w:jc w:val="both"/>
      </w:pPr>
      <w:r>
        <w:t>Rok otplate je 10 godina, nominalna kamatna stopa 1,59%, efektivna 1,64%. Rok povlačenja kredita bio je 30.6.2020. Kredit je u cijelosti realiziran.</w:t>
      </w:r>
    </w:p>
    <w:p w14:paraId="0F9E74C6" w14:textId="77777777" w:rsidR="00BD7374" w:rsidRPr="006A4453" w:rsidRDefault="00BD7374" w:rsidP="00BD7374">
      <w:pPr>
        <w:jc w:val="both"/>
      </w:pPr>
      <w:r w:rsidRPr="009E3705">
        <w:t xml:space="preserve">Temeljem predmetnog zaduživanja </w:t>
      </w:r>
      <w:r>
        <w:t>u 2020. je otplaćena glavnica u iznosu 1.125.000 kn i</w:t>
      </w:r>
      <w:r w:rsidRPr="009E3705">
        <w:t xml:space="preserve"> kamate u iznosu </w:t>
      </w:r>
      <w:r>
        <w:t>690</w:t>
      </w:r>
      <w:r w:rsidRPr="009E3705">
        <w:t>.</w:t>
      </w:r>
      <w:r>
        <w:t>445</w:t>
      </w:r>
      <w:r w:rsidRPr="009E3705">
        <w:t xml:space="preserve"> kn.</w:t>
      </w:r>
      <w:r>
        <w:t xml:space="preserve"> Nedospjela glavnica na dan 31.12.2020. iznosi 43.875.000 kn.</w:t>
      </w:r>
    </w:p>
    <w:p w14:paraId="4CF28607" w14:textId="77777777" w:rsidR="00BD7374" w:rsidRPr="009E3705" w:rsidRDefault="00BD7374" w:rsidP="00BD7374">
      <w:pPr>
        <w:pStyle w:val="Tijeloteksta-uvlaka2"/>
        <w:spacing w:after="0" w:line="240" w:lineRule="auto"/>
        <w:ind w:left="0"/>
        <w:jc w:val="both"/>
      </w:pPr>
    </w:p>
    <w:p w14:paraId="0F0C99EE" w14:textId="77777777" w:rsidR="00BD7374" w:rsidRDefault="00BD7374" w:rsidP="00BD7374">
      <w:pPr>
        <w:pStyle w:val="Tijeloteksta-uvlaka2"/>
        <w:spacing w:after="0" w:line="240" w:lineRule="auto"/>
        <w:ind w:left="0"/>
        <w:jc w:val="both"/>
        <w:rPr>
          <w:color w:val="FF0000"/>
        </w:rPr>
      </w:pPr>
    </w:p>
    <w:p w14:paraId="7179FBB3" w14:textId="77777777" w:rsidR="00BD7374" w:rsidRDefault="00BD7374" w:rsidP="00BD7374">
      <w:pPr>
        <w:pStyle w:val="Obini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A620C9">
        <w:rPr>
          <w:rFonts w:ascii="Times New Roman" w:hAnsi="Times New Roman" w:cs="Times New Roman"/>
          <w:sz w:val="24"/>
          <w:szCs w:val="24"/>
        </w:rPr>
        <w:t xml:space="preserve">Ugovor o kreditu između Grada Osijeka i OTP banke d.d. na iznos </w:t>
      </w:r>
      <w:r>
        <w:rPr>
          <w:rFonts w:ascii="Times New Roman" w:hAnsi="Times New Roman"/>
          <w:sz w:val="24"/>
          <w:szCs w:val="24"/>
        </w:rPr>
        <w:t xml:space="preserve"> 15.000.000 kn</w:t>
      </w:r>
      <w:r w:rsidRPr="00CD4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zaključen je 05.04.2018. </w:t>
      </w:r>
      <w:r w:rsidRPr="00CD4E1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financiranje sljedećih investicija</w:t>
      </w:r>
      <w:r w:rsidRPr="00CD4E19">
        <w:rPr>
          <w:rFonts w:ascii="Times New Roman" w:hAnsi="Times New Roman"/>
          <w:sz w:val="24"/>
          <w:szCs w:val="24"/>
        </w:rPr>
        <w:t>:</w:t>
      </w:r>
    </w:p>
    <w:p w14:paraId="6FBA03BA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Edukativni i informativni turistički centar mladih Stara pekara s Trgom V.Lisinskog, Tvrđa</w:t>
      </w:r>
    </w:p>
    <w:p w14:paraId="4E2DE098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Rekonstrukcija Šetališta Petra Preradovića (Sakuntala park)</w:t>
      </w:r>
    </w:p>
    <w:p w14:paraId="510E01F5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Energetska obnova OŠ Antuna Mihanovića</w:t>
      </w:r>
    </w:p>
    <w:p w14:paraId="216DEC92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Energetska obnova OŠ Grigora Viteza</w:t>
      </w:r>
    </w:p>
    <w:p w14:paraId="11196B58" w14:textId="77777777" w:rsidR="00BD7374" w:rsidRPr="00CD4E19" w:rsidRDefault="00BD7374" w:rsidP="00BD7374">
      <w:pPr>
        <w:jc w:val="both"/>
        <w:rPr>
          <w:color w:val="000000"/>
        </w:rPr>
      </w:pPr>
      <w:r w:rsidRPr="00CD4E19">
        <w:rPr>
          <w:color w:val="000000"/>
        </w:rPr>
        <w:t>Izgradnja biciklističkih staza kroz program Integrirana teritorijalna ulaganja-ITU</w:t>
      </w:r>
    </w:p>
    <w:p w14:paraId="1737BB54" w14:textId="77777777" w:rsidR="00BD7374" w:rsidRPr="00CD4E19" w:rsidRDefault="00BD7374" w:rsidP="00BD7374">
      <w:pPr>
        <w:jc w:val="both"/>
        <w:rPr>
          <w:color w:val="000000"/>
        </w:rPr>
      </w:pPr>
      <w:r>
        <w:t xml:space="preserve">Rok trajanja otplate je 10 godina, nominalna kamatna stopa 1,85%, efektivna 1,94%.  Kredit je realiziran u iznosu od 11.668.614 kn. Preostala kreditna sredstva nisu realizirana iz razloga da su iskazane manje potrebe za završetak projekta </w:t>
      </w:r>
      <w:r w:rsidRPr="00CD4E19">
        <w:rPr>
          <w:color w:val="000000"/>
        </w:rPr>
        <w:t>Edukativni i informativni turistički centar mladih Stara pekara s Trgom V.Lisinskog, Tvrđa</w:t>
      </w:r>
      <w:r>
        <w:rPr>
          <w:color w:val="000000"/>
        </w:rPr>
        <w:t>.</w:t>
      </w:r>
    </w:p>
    <w:p w14:paraId="501A4D5F" w14:textId="77777777" w:rsidR="00BD7374" w:rsidRPr="006A4453" w:rsidRDefault="00BD7374" w:rsidP="00BD7374">
      <w:pPr>
        <w:jc w:val="both"/>
      </w:pPr>
      <w:r w:rsidRPr="009E3705">
        <w:t>Temeljem predmetnog zaduživanja</w:t>
      </w:r>
      <w:r>
        <w:t xml:space="preserve"> u 2020. je otplaćena glavnica u iznosu 1.166.861,00 kn i </w:t>
      </w:r>
      <w:r w:rsidRPr="009E3705">
        <w:t xml:space="preserve">kamate u iznosu </w:t>
      </w:r>
      <w:r>
        <w:t>250</w:t>
      </w:r>
      <w:r w:rsidRPr="009E3705">
        <w:t>.</w:t>
      </w:r>
      <w:r>
        <w:t>440</w:t>
      </w:r>
      <w:r w:rsidRPr="009E3705">
        <w:t xml:space="preserve"> kn.</w:t>
      </w:r>
      <w:r>
        <w:t xml:space="preserve"> Nedospjela glavnica na dan 31.12.2020. iznosi 10.501.752 kn.</w:t>
      </w:r>
    </w:p>
    <w:p w14:paraId="1C1716C5" w14:textId="77777777" w:rsidR="00BD7374" w:rsidRPr="009E3705" w:rsidRDefault="00BD7374" w:rsidP="00BD7374">
      <w:pPr>
        <w:pStyle w:val="Tijeloteksta-uvlaka2"/>
        <w:spacing w:after="0" w:line="240" w:lineRule="auto"/>
        <w:ind w:left="0"/>
        <w:jc w:val="both"/>
      </w:pPr>
    </w:p>
    <w:p w14:paraId="3CD15490" w14:textId="77777777" w:rsidR="00BD7374" w:rsidRDefault="00BD7374" w:rsidP="00BD7374">
      <w:pPr>
        <w:ind w:firstLine="708"/>
        <w:jc w:val="both"/>
      </w:pPr>
    </w:p>
    <w:p w14:paraId="45A5FFB7" w14:textId="77777777" w:rsidR="00BD7374" w:rsidRPr="00D0605A" w:rsidRDefault="00BD7374" w:rsidP="00BD7374">
      <w:pPr>
        <w:jc w:val="both"/>
      </w:pPr>
      <w:r>
        <w:t>8.</w:t>
      </w:r>
      <w:r>
        <w:tab/>
      </w:r>
      <w:r w:rsidRPr="00A620C9">
        <w:t xml:space="preserve">Ugovor o kreditu između Grada Osijeka i OTP banke d.d. na iznos </w:t>
      </w:r>
      <w:r>
        <w:t>20.500.000 kn zaključen je 12.07.2019 za financiranje sljedećih investicija:</w:t>
      </w:r>
    </w:p>
    <w:p w14:paraId="0C4FDC6F" w14:textId="77777777" w:rsidR="00BD7374" w:rsidRDefault="00BD7374" w:rsidP="00BD7374">
      <w:pPr>
        <w:ind w:firstLine="708"/>
      </w:pPr>
      <w:r>
        <w:lastRenderedPageBreak/>
        <w:t>Izgradnja cesta</w:t>
      </w:r>
    </w:p>
    <w:p w14:paraId="6EC856B4" w14:textId="77777777" w:rsidR="00BD7374" w:rsidRDefault="00BD7374" w:rsidP="00BD7374">
      <w:pPr>
        <w:ind w:firstLine="708"/>
      </w:pPr>
      <w:r>
        <w:t>Izgradnja OŠ Tenja</w:t>
      </w:r>
    </w:p>
    <w:p w14:paraId="16B32311" w14:textId="77777777" w:rsidR="00BD7374" w:rsidRDefault="00BD7374" w:rsidP="00BD7374">
      <w:pPr>
        <w:ind w:firstLine="708"/>
      </w:pPr>
      <w:r>
        <w:t>Izgradnja OŠ Briješće</w:t>
      </w:r>
    </w:p>
    <w:p w14:paraId="7154F766" w14:textId="77777777" w:rsidR="00BD7374" w:rsidRDefault="00BD7374" w:rsidP="00BD7374">
      <w:pPr>
        <w:ind w:firstLine="708"/>
      </w:pPr>
      <w:r>
        <w:t>Izgradnja OŠ Mladost</w:t>
      </w:r>
    </w:p>
    <w:p w14:paraId="63A3F50B" w14:textId="77777777" w:rsidR="00BD7374" w:rsidRDefault="00BD7374" w:rsidP="00BD7374">
      <w:pPr>
        <w:ind w:firstLine="708"/>
      </w:pPr>
      <w:r>
        <w:t>Izgradnja i rekonstrukcija sportskih objekata</w:t>
      </w:r>
    </w:p>
    <w:p w14:paraId="23FCA3E7" w14:textId="77777777" w:rsidR="00BD7374" w:rsidRDefault="00BD7374" w:rsidP="00BD7374">
      <w:pPr>
        <w:ind w:firstLine="708"/>
      </w:pPr>
      <w:r>
        <w:t>Izgradnja krematorija</w:t>
      </w:r>
    </w:p>
    <w:p w14:paraId="2E28A6E4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povlačenja sredstava bio je 31.12.2020. i isti je produžen do 31.8 2021.Rok otplate je 10  godina, kamatna stopa je fiksna pri čemu je visina nominalne kamatne stope 1,25% a efektivne 1,32%.  U 2020. kredit je realiziran u iznosu 8.323.655 kn, ukupno 16.235.703 kn.</w:t>
      </w:r>
    </w:p>
    <w:p w14:paraId="689747BA" w14:textId="77777777" w:rsidR="00BD7374" w:rsidRPr="009E3705" w:rsidRDefault="00BD7374" w:rsidP="00BD7374">
      <w:pPr>
        <w:pStyle w:val="Tijeloteksta-uvlaka2"/>
        <w:spacing w:after="0" w:line="240" w:lineRule="auto"/>
        <w:ind w:left="0"/>
        <w:jc w:val="both"/>
      </w:pPr>
      <w:r w:rsidRPr="009E3705">
        <w:t xml:space="preserve">Temeljem predmetnog zaduživanja plaćene su </w:t>
      </w:r>
      <w:r>
        <w:t xml:space="preserve">interkalarne </w:t>
      </w:r>
      <w:r w:rsidRPr="009E3705">
        <w:t xml:space="preserve">kamate u iznosu </w:t>
      </w:r>
      <w:r>
        <w:t>106</w:t>
      </w:r>
      <w:r w:rsidRPr="009E3705">
        <w:t>.</w:t>
      </w:r>
      <w:r>
        <w:t>850</w:t>
      </w:r>
      <w:r w:rsidRPr="009E3705">
        <w:t xml:space="preserve"> kn.</w:t>
      </w:r>
    </w:p>
    <w:p w14:paraId="0EA78EAE" w14:textId="77777777" w:rsidR="00BD7374" w:rsidRDefault="00BD7374" w:rsidP="00BD7374"/>
    <w:p w14:paraId="4D195019" w14:textId="77777777" w:rsidR="00BD7374" w:rsidRDefault="00BD7374" w:rsidP="00BD7374">
      <w:pPr>
        <w:jc w:val="both"/>
      </w:pPr>
      <w:r>
        <w:t>9.</w:t>
      </w:r>
      <w:r>
        <w:tab/>
      </w:r>
      <w:r w:rsidRPr="00A620C9">
        <w:t xml:space="preserve">Ugovor o kreditu između Grada Osijeka i </w:t>
      </w:r>
      <w:r>
        <w:t>Zagrebačke</w:t>
      </w:r>
      <w:r w:rsidRPr="00A620C9">
        <w:t xml:space="preserve"> banke d.d. na iznos</w:t>
      </w:r>
      <w:r>
        <w:t xml:space="preserve">  10.000.000 kn za financiranje sustava oborinske odvodnje u Eko industrijskoj zoni Nemetin zaključen je 13.11.2019. Rok otplate je 5 godina, nominalna kamatna stopa 0,84% a efektivna 0,89%.  Sredstva su u cijelosti iskorištena u 2020. godini. %.  U 2020. plaćene su interkalarne kamate u iznosu 33.669 kn.</w:t>
      </w:r>
    </w:p>
    <w:p w14:paraId="5F22B356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</w:rPr>
      </w:pPr>
    </w:p>
    <w:p w14:paraId="5146C56E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</w:rPr>
      </w:pPr>
    </w:p>
    <w:p w14:paraId="2310E8FA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Grad Osijek zadužio se kod Hrvatske banke za obnovu i razvitak za financiranje sljedećih projekata:</w:t>
      </w:r>
    </w:p>
    <w:p w14:paraId="5AC67465" w14:textId="77777777" w:rsidR="00BD7374" w:rsidRDefault="00BD7374" w:rsidP="00BD7374">
      <w:pPr>
        <w:ind w:firstLine="708"/>
      </w:pPr>
      <w:r>
        <w:t>Energetska obnova osnovne škole Franje Krežma</w:t>
      </w:r>
    </w:p>
    <w:p w14:paraId="0A6C1BAA" w14:textId="77777777" w:rsidR="00BD7374" w:rsidRDefault="00BD7374" w:rsidP="00BD7374">
      <w:pPr>
        <w:ind w:firstLine="708"/>
      </w:pPr>
      <w:r>
        <w:t>Energetska obnova dječjeg vrtića Radost</w:t>
      </w:r>
    </w:p>
    <w:p w14:paraId="706DFB7B" w14:textId="77777777" w:rsidR="00BD7374" w:rsidRDefault="00BD7374" w:rsidP="00BD7374">
      <w:pPr>
        <w:ind w:firstLine="708"/>
      </w:pPr>
      <w:r>
        <w:t>Energetska obnova dječjeg vrtića Potočnica</w:t>
      </w:r>
    </w:p>
    <w:p w14:paraId="46559CC3" w14:textId="77777777" w:rsidR="00BD7374" w:rsidRDefault="00BD7374" w:rsidP="00BD7374">
      <w:pPr>
        <w:ind w:firstLine="708"/>
      </w:pPr>
      <w:r>
        <w:t>Energetska obnova osnovne škole Vijenac</w:t>
      </w:r>
    </w:p>
    <w:p w14:paraId="5D6BC113" w14:textId="77777777" w:rsidR="00BD7374" w:rsidRDefault="00BD7374" w:rsidP="00BD7374">
      <w:r>
        <w:tab/>
        <w:t>Energetska obnova dječjeg vrtića Latica</w:t>
      </w:r>
    </w:p>
    <w:p w14:paraId="09DAE6BF" w14:textId="77777777" w:rsidR="00BD7374" w:rsidRDefault="00BD7374" w:rsidP="00BD7374">
      <w:pPr>
        <w:ind w:firstLine="708"/>
      </w:pPr>
      <w:r w:rsidRPr="00237901">
        <w:t>Energetska obnova osnovne škole Mladost</w:t>
      </w:r>
    </w:p>
    <w:p w14:paraId="2DD2F5FE" w14:textId="77777777" w:rsidR="00BD7374" w:rsidRDefault="00BD7374" w:rsidP="00BD7374">
      <w:pPr>
        <w:ind w:firstLine="708"/>
      </w:pPr>
    </w:p>
    <w:p w14:paraId="1133EB7E" w14:textId="77777777" w:rsidR="00BD7374" w:rsidRDefault="00BD7374" w:rsidP="00BD7374">
      <w:pPr>
        <w:jc w:val="both"/>
        <w:outlineLvl w:val="0"/>
      </w:pPr>
      <w:r>
        <w:t xml:space="preserve">Hrvatska banka za obnovu i razvoj otvorila je kreditnu liniju za </w:t>
      </w:r>
      <w:r w:rsidRPr="003667F4">
        <w:t>Financiranje provedbe ulaganja u energetsku učinkovitost te poticanje korištenja</w:t>
      </w:r>
      <w:r>
        <w:t xml:space="preserve"> </w:t>
      </w:r>
      <w:r w:rsidRPr="003667F4">
        <w:t>obnovljivih izvora energije (OIE) u zgradama javnog sektora u svrhu postizanja</w:t>
      </w:r>
      <w:r>
        <w:t xml:space="preserve"> </w:t>
      </w:r>
      <w:r w:rsidRPr="003667F4">
        <w:t>energetskih ušteda.</w:t>
      </w:r>
      <w:r>
        <w:t xml:space="preserve"> </w:t>
      </w:r>
    </w:p>
    <w:p w14:paraId="0FDDE890" w14:textId="77777777" w:rsidR="00BD7374" w:rsidRDefault="00BD7374" w:rsidP="00BD7374">
      <w:pPr>
        <w:jc w:val="both"/>
        <w:outlineLvl w:val="0"/>
      </w:pPr>
      <w:r>
        <w:t>Kreditirali su se</w:t>
      </w:r>
      <w:r w:rsidRPr="003667F4">
        <w:t xml:space="preserve"> projekti krajnjih primatelja koji </w:t>
      </w:r>
      <w:r>
        <w:t>su dobili</w:t>
      </w:r>
      <w:r w:rsidRPr="003667F4">
        <w:t xml:space="preserve"> Odluku o financiranju od</w:t>
      </w:r>
      <w:r>
        <w:t xml:space="preserve"> </w:t>
      </w:r>
      <w:r w:rsidRPr="003667F4">
        <w:t>strane Ministarstva graditeljstva i prostornog uređenja za natječaje za bespovratna</w:t>
      </w:r>
      <w:r>
        <w:t xml:space="preserve"> </w:t>
      </w:r>
      <w:r w:rsidRPr="003667F4">
        <w:t>sredstva u sklopu specifičnog cilja 4c1.</w:t>
      </w:r>
      <w:r>
        <w:t xml:space="preserve"> </w:t>
      </w:r>
    </w:p>
    <w:p w14:paraId="4F2FA119" w14:textId="77777777" w:rsidR="00BD7374" w:rsidRDefault="00BD7374" w:rsidP="00BD7374">
      <w:pPr>
        <w:ind w:firstLine="708"/>
        <w:jc w:val="both"/>
      </w:pPr>
      <w:r>
        <w:t>Gradu Osijeku odobren je kredit na iznos od 3.489.850 kn koji je u cijelosti realiziran u 2020. Rok otplate je 5  godina, kamatna stopa je fiksna i iznosi 0,5%.  U 2020. plaćene su interkalarne kamate u iznosu 1.583 kn.</w:t>
      </w:r>
    </w:p>
    <w:p w14:paraId="71440C2D" w14:textId="77777777" w:rsidR="00BD7374" w:rsidRDefault="00BD7374" w:rsidP="00BD7374">
      <w:pPr>
        <w:ind w:firstLine="708"/>
      </w:pPr>
    </w:p>
    <w:p w14:paraId="5A942138" w14:textId="77777777" w:rsidR="00BD7374" w:rsidRPr="005B091D" w:rsidRDefault="00BD7374" w:rsidP="00BD7374">
      <w:pPr>
        <w:ind w:firstLine="708"/>
        <w:rPr>
          <w:color w:val="FF0000"/>
        </w:rPr>
      </w:pPr>
      <w:r>
        <w:t>U 2020.</w:t>
      </w:r>
      <w:r w:rsidRPr="005B091D">
        <w:t xml:space="preserve"> Grad Osijek objavio je dva javna poziva za prikupljanje ponuda za dugoročno zaduživanje Grada</w:t>
      </w:r>
      <w:r w:rsidRPr="005B091D">
        <w:rPr>
          <w:color w:val="FF0000"/>
        </w:rPr>
        <w:t>.</w:t>
      </w:r>
    </w:p>
    <w:p w14:paraId="7FCB3962" w14:textId="77777777" w:rsidR="00BD7374" w:rsidRPr="005B091D" w:rsidRDefault="00BD7374" w:rsidP="00BD7374">
      <w:pPr>
        <w:jc w:val="both"/>
      </w:pPr>
      <w:r>
        <w:t>11.</w:t>
      </w:r>
      <w:r>
        <w:tab/>
        <w:t xml:space="preserve">Temeljem raspisanog poziva, </w:t>
      </w:r>
      <w:r w:rsidRPr="005B091D">
        <w:t xml:space="preserve">Grad </w:t>
      </w:r>
      <w:r>
        <w:t>se</w:t>
      </w:r>
      <w:r w:rsidRPr="005B091D">
        <w:t xml:space="preserve"> dugoročno zadužio za u iznosu od 58</w:t>
      </w:r>
      <w:r>
        <w:t xml:space="preserve">.500.000,00 kn </w:t>
      </w:r>
      <w:r w:rsidRPr="005B091D">
        <w:t>za sljedeće kapitalne projekte:</w:t>
      </w:r>
    </w:p>
    <w:p w14:paraId="32654EDA" w14:textId="77777777" w:rsidR="00BD7374" w:rsidRPr="005B091D" w:rsidRDefault="00BD7374" w:rsidP="00BD7374">
      <w:pPr>
        <w:ind w:firstLine="708"/>
      </w:pPr>
      <w:r w:rsidRPr="005B091D">
        <w:t>Energetska obnova DV Potočnica</w:t>
      </w:r>
    </w:p>
    <w:p w14:paraId="738ECA8C" w14:textId="77777777" w:rsidR="00BD7374" w:rsidRPr="005B091D" w:rsidRDefault="00BD7374" w:rsidP="00BD7374">
      <w:pPr>
        <w:ind w:firstLine="708"/>
      </w:pPr>
      <w:r w:rsidRPr="005B091D">
        <w:t>Energetska obnova OŠ Vijenac</w:t>
      </w:r>
    </w:p>
    <w:p w14:paraId="47FD5665" w14:textId="77777777" w:rsidR="00BD7374" w:rsidRPr="005B091D" w:rsidRDefault="00BD7374" w:rsidP="00BD7374">
      <w:pPr>
        <w:ind w:firstLine="708"/>
      </w:pPr>
      <w:r w:rsidRPr="005B091D">
        <w:t>Energetska obnova DV Latica</w:t>
      </w:r>
    </w:p>
    <w:p w14:paraId="5CE82C25" w14:textId="77777777" w:rsidR="00BD7374" w:rsidRPr="005B091D" w:rsidRDefault="00BD7374" w:rsidP="00BD7374">
      <w:pPr>
        <w:ind w:firstLine="708"/>
      </w:pPr>
      <w:r w:rsidRPr="005B091D">
        <w:t>Izgradnja i rekonstrukcija sportskih objekata</w:t>
      </w:r>
    </w:p>
    <w:p w14:paraId="51F25DE8" w14:textId="77777777" w:rsidR="00BD7374" w:rsidRPr="005B091D" w:rsidRDefault="00BD7374" w:rsidP="00BD7374">
      <w:pPr>
        <w:ind w:firstLine="708"/>
      </w:pPr>
      <w:r w:rsidRPr="005B091D">
        <w:t>Kulturni centar Osijek</w:t>
      </w:r>
    </w:p>
    <w:p w14:paraId="5A097EA6" w14:textId="77777777" w:rsidR="00BD7374" w:rsidRPr="005B091D" w:rsidRDefault="00BD7374" w:rsidP="00BD7374">
      <w:pPr>
        <w:ind w:firstLine="708"/>
      </w:pPr>
      <w:r w:rsidRPr="005B091D">
        <w:t>Industrijska Zona Nemetin</w:t>
      </w:r>
    </w:p>
    <w:p w14:paraId="394C7953" w14:textId="77777777" w:rsidR="00BD7374" w:rsidRPr="005B091D" w:rsidRDefault="00BD7374" w:rsidP="00BD7374">
      <w:pPr>
        <w:ind w:firstLine="708"/>
      </w:pPr>
      <w:r w:rsidRPr="005B091D">
        <w:lastRenderedPageBreak/>
        <w:t>Stanogradnja</w:t>
      </w:r>
    </w:p>
    <w:p w14:paraId="45D748E2" w14:textId="77777777" w:rsidR="00BD7374" w:rsidRPr="005B091D" w:rsidRDefault="00BD7374" w:rsidP="00BD7374">
      <w:r w:rsidRPr="005B091D">
        <w:tab/>
      </w:r>
      <w:r w:rsidRPr="005B091D">
        <w:tab/>
      </w:r>
    </w:p>
    <w:p w14:paraId="6F13D6DF" w14:textId="77777777" w:rsidR="00BD7374" w:rsidRPr="005B091D" w:rsidRDefault="00BD7374" w:rsidP="00BD737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 xml:space="preserve">Zaduživanje je ugovoreno sa Zagrebačkom bankom d.d. kao najpovoljnijim ponuditeljem. Rok povlačenja sredstava je 30.06.2022. a rok otplate 15  godina. Kamatna stopa je fiksna pri čemu je visina nominalne kamatne stope 1,13%, efektivne 1,15%. Naknada za obradu zahtjeva iznosi 0,1% ugovorenog iznosa kredita. </w:t>
      </w:r>
      <w:r w:rsidRPr="005B091D">
        <w:rPr>
          <w:rFonts w:ascii="Times New Roman" w:hAnsi="Times New Roman" w:cs="Times New Roman"/>
          <w:color w:val="auto"/>
        </w:rPr>
        <w:tab/>
      </w:r>
    </w:p>
    <w:p w14:paraId="672721DE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>Za predmetno zaduživanje 21. svibnja 2020. dobivena je suglasnost Vlade Republike Hrvatske.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34B4166" w14:textId="77777777" w:rsidR="00BD7374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 2020. kredit je realiziran u iznosu 13.664.177 kn. Plaćene su interkalarne kamate u iznosu 24.879 kn.</w:t>
      </w:r>
      <w:r w:rsidRPr="005B091D">
        <w:rPr>
          <w:rFonts w:ascii="Times New Roman" w:hAnsi="Times New Roman" w:cs="Times New Roman"/>
          <w:color w:val="auto"/>
        </w:rPr>
        <w:tab/>
      </w:r>
    </w:p>
    <w:p w14:paraId="5918DAA4" w14:textId="77777777" w:rsidR="00BD7374" w:rsidRPr="005B091D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988B7B2" w14:textId="77777777" w:rsidR="00BD7374" w:rsidRPr="005B091D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 w:rsidRPr="005B091D">
        <w:rPr>
          <w:rFonts w:ascii="Times New Roman" w:hAnsi="Times New Roman" w:cs="Times New Roman"/>
          <w:color w:val="auto"/>
        </w:rPr>
        <w:tab/>
        <w:t>Grada Osijek</w:t>
      </w:r>
      <w:r>
        <w:rPr>
          <w:rFonts w:ascii="Times New Roman" w:hAnsi="Times New Roman" w:cs="Times New Roman"/>
          <w:color w:val="auto"/>
        </w:rPr>
        <w:t xml:space="preserve"> zadužio se u 2020.</w:t>
      </w:r>
      <w:r w:rsidRPr="005B091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5B091D">
        <w:rPr>
          <w:rFonts w:ascii="Times New Roman" w:hAnsi="Times New Roman" w:cs="Times New Roman"/>
          <w:color w:val="auto"/>
        </w:rPr>
        <w:t>u iznosu 33.000.000,00 kn za sufinanciranje sljedećih EU projekata:</w:t>
      </w:r>
    </w:p>
    <w:p w14:paraId="7CFBF3A3" w14:textId="77777777" w:rsidR="00BD7374" w:rsidRPr="005B091D" w:rsidRDefault="00BD7374" w:rsidP="00BD7374">
      <w:pPr>
        <w:ind w:firstLine="708"/>
      </w:pPr>
      <w:r w:rsidRPr="005B091D">
        <w:t>IT Park-IT Poslovni centar</w:t>
      </w:r>
    </w:p>
    <w:p w14:paraId="68BEBB75" w14:textId="77777777" w:rsidR="00BD7374" w:rsidRPr="005B091D" w:rsidRDefault="00BD7374" w:rsidP="00BD7374">
      <w:pPr>
        <w:ind w:firstLine="708"/>
      </w:pPr>
      <w:r w:rsidRPr="005B091D">
        <w:t>Centar za posjetitelje Tvrđa</w:t>
      </w:r>
    </w:p>
    <w:p w14:paraId="782A7275" w14:textId="77777777" w:rsidR="00BD7374" w:rsidRPr="005B091D" w:rsidRDefault="00BD7374" w:rsidP="00BD7374">
      <w:pPr>
        <w:ind w:firstLine="708"/>
      </w:pPr>
      <w:r>
        <w:t>Razvoj i unapređenje osječke</w:t>
      </w:r>
      <w:r w:rsidRPr="005B091D">
        <w:t xml:space="preserve"> Tvrđe</w:t>
      </w:r>
    </w:p>
    <w:p w14:paraId="0F75F57B" w14:textId="77777777" w:rsidR="00BD7374" w:rsidRPr="005B091D" w:rsidRDefault="00BD7374" w:rsidP="00BD737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B091D">
        <w:rPr>
          <w:rFonts w:ascii="Times New Roman" w:hAnsi="Times New Roman" w:cs="Times New Roman"/>
          <w:color w:val="auto"/>
        </w:rPr>
        <w:t>Kao najpovoljniji ponuditelje također je izabrana Zagrebačka banka d.d. Rok povlačenja sredstava je 30.6.2022., rok otplate 15  godina. Kamatna stopa je fiksna pri čemu je visina nominalne kamatne stope 1,14%, efektivne 1,17%. Naknada za obradu zahtjeva iznosi 0,2% ugovorenog iznosa kredita. Za predmetno zaduživanje 21. svibnja 2020. dobivena je suglasnost Vlade Republike Hrvatske.</w:t>
      </w:r>
      <w:r>
        <w:rPr>
          <w:rFonts w:ascii="Times New Roman" w:hAnsi="Times New Roman" w:cs="Times New Roman"/>
          <w:color w:val="auto"/>
        </w:rPr>
        <w:t xml:space="preserve"> U 2020. kredit je realiziran u iznosu 2.474.320 kn. Plaćene su interkalarne kamate u iznosu 2.984 kn.</w:t>
      </w:r>
      <w:r w:rsidRPr="005B091D">
        <w:rPr>
          <w:rFonts w:ascii="Times New Roman" w:hAnsi="Times New Roman" w:cs="Times New Roman"/>
          <w:color w:val="auto"/>
        </w:rPr>
        <w:tab/>
      </w:r>
    </w:p>
    <w:p w14:paraId="3B5736A4" w14:textId="77777777" w:rsidR="00BD7374" w:rsidRDefault="00BD7374" w:rsidP="00BD7374">
      <w:pPr>
        <w:ind w:firstLine="708"/>
        <w:jc w:val="both"/>
      </w:pPr>
      <w:r>
        <w:t>Sveukupne otplate glavnice po dugoročnim kreditima u 2020. bile su 10.651.091 kn dok su plaćene kamate u iznosu 2.571.889 kn.</w:t>
      </w:r>
    </w:p>
    <w:p w14:paraId="1BD80BF2" w14:textId="77777777" w:rsidR="00BD7374" w:rsidRDefault="00BD7374" w:rsidP="00B471B5">
      <w:pPr>
        <w:ind w:firstLine="708"/>
        <w:jc w:val="both"/>
      </w:pPr>
    </w:p>
    <w:p w14:paraId="4A4EF8A3" w14:textId="77777777" w:rsidR="00727A64" w:rsidRDefault="00727A64" w:rsidP="00B471B5">
      <w:pPr>
        <w:ind w:firstLine="708"/>
        <w:jc w:val="both"/>
      </w:pPr>
    </w:p>
    <w:p w14:paraId="52A5681F" w14:textId="77777777" w:rsidR="007F3C6B" w:rsidRPr="00A73F8D" w:rsidRDefault="007F3C6B" w:rsidP="001976BB">
      <w:pPr>
        <w:ind w:firstLine="708"/>
        <w:jc w:val="both"/>
        <w:rPr>
          <w:b/>
        </w:rPr>
      </w:pPr>
      <w:r w:rsidRPr="00A73F8D">
        <w:rPr>
          <w:b/>
        </w:rPr>
        <w:t>Struktura viška/manjka Grada Osijeka i proračunskih korisnika je sljedeća</w:t>
      </w:r>
      <w:r w:rsidR="00EE16F6" w:rsidRPr="00A73F8D">
        <w:rPr>
          <w:b/>
        </w:rPr>
        <w:t xml:space="preserve"> (AOP 232 - AOP 236)</w:t>
      </w:r>
      <w:r w:rsidRPr="00A73F8D">
        <w:rPr>
          <w:b/>
        </w:rPr>
        <w:t>:</w:t>
      </w:r>
    </w:p>
    <w:p w14:paraId="2E983E1C" w14:textId="77777777" w:rsidR="00A73F8D" w:rsidRDefault="00A73F8D" w:rsidP="001976BB">
      <w:pPr>
        <w:ind w:firstLine="708"/>
        <w:jc w:val="both"/>
        <w:rPr>
          <w:b/>
          <w:color w:val="FF0000"/>
        </w:rPr>
      </w:pPr>
    </w:p>
    <w:tbl>
      <w:tblPr>
        <w:tblW w:w="8720" w:type="dxa"/>
        <w:tblInd w:w="108" w:type="dxa"/>
        <w:tblLook w:val="04A0" w:firstRow="1" w:lastRow="0" w:firstColumn="1" w:lastColumn="0" w:noHBand="0" w:noVBand="1"/>
      </w:tblPr>
      <w:tblGrid>
        <w:gridCol w:w="6920"/>
        <w:gridCol w:w="1800"/>
      </w:tblGrid>
      <w:tr w:rsidR="00A73F8D" w:rsidRPr="00A73F8D" w14:paraId="7D5B56C6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1A3" w14:textId="77777777" w:rsidR="00A73F8D" w:rsidRPr="00A73F8D" w:rsidRDefault="00A73F8D" w:rsidP="00A73F8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3F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Višak raspoloživ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EF69" w14:textId="77777777" w:rsidR="00A73F8D" w:rsidRPr="00A73F8D" w:rsidRDefault="00A73F8D" w:rsidP="00A73F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3F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31.12.2020.</w:t>
            </w:r>
          </w:p>
        </w:tc>
      </w:tr>
      <w:tr w:rsidR="00A73F8D" w:rsidRPr="00A73F8D" w14:paraId="6941E71E" w14:textId="77777777" w:rsidTr="00A73F8D">
        <w:trPr>
          <w:trHeight w:val="300"/>
        </w:trPr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DCA5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Grad Osijek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98360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22.164.928</w:t>
            </w:r>
          </w:p>
        </w:tc>
      </w:tr>
      <w:tr w:rsidR="00A73F8D" w:rsidRPr="00A73F8D" w14:paraId="3BE77AB1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63A9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DJEČJI VRTIĆ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8043E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2.168.963</w:t>
            </w:r>
          </w:p>
        </w:tc>
      </w:tr>
      <w:tr w:rsidR="00A73F8D" w:rsidRPr="00A73F8D" w14:paraId="4756CD1F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AACAC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Agencija za obnovu Osječke Tvrđe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0A31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1.682.214</w:t>
            </w:r>
          </w:p>
        </w:tc>
      </w:tr>
      <w:tr w:rsidR="00A73F8D" w:rsidRPr="00A73F8D" w14:paraId="11743C2A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F780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ŠTARK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D028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949.910</w:t>
            </w:r>
          </w:p>
        </w:tc>
      </w:tr>
      <w:tr w:rsidR="00A73F8D" w:rsidRPr="00A73F8D" w14:paraId="7F69A5D2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4E27D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JPVP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196FA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721.503</w:t>
            </w:r>
          </w:p>
        </w:tc>
      </w:tr>
      <w:tr w:rsidR="00A73F8D" w:rsidRPr="00A73F8D" w14:paraId="38896E44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B618D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BECIĆ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A263B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710.170</w:t>
            </w:r>
          </w:p>
        </w:tc>
      </w:tr>
      <w:tr w:rsidR="00A73F8D" w:rsidRPr="00A73F8D" w14:paraId="1E5249F1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7EF76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TIN UJEVIĆ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A43A7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685.265</w:t>
            </w:r>
          </w:p>
        </w:tc>
      </w:tr>
      <w:tr w:rsidR="00A73F8D" w:rsidRPr="00A73F8D" w14:paraId="2CA0F305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B6815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VIŠNJEVAC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4DD0C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503.915</w:t>
            </w:r>
          </w:p>
        </w:tc>
      </w:tr>
      <w:tr w:rsidR="00A73F8D" w:rsidRPr="00A73F8D" w14:paraId="236EB9F0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7E29B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RETFALA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D1B58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411.725</w:t>
            </w:r>
          </w:p>
        </w:tc>
      </w:tr>
      <w:tr w:rsidR="00A73F8D" w:rsidRPr="00A73F8D" w14:paraId="38851C1B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00427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AUGUST ŠENOA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C2F72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411.723</w:t>
            </w:r>
          </w:p>
        </w:tc>
      </w:tr>
      <w:tr w:rsidR="00A73F8D" w:rsidRPr="00A73F8D" w14:paraId="33F424D3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3FCAA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FRANJE KREŽME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032F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403.347</w:t>
            </w:r>
          </w:p>
        </w:tc>
      </w:tr>
      <w:tr w:rsidR="002F150C" w:rsidRPr="00A73F8D" w14:paraId="07A76FC6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58B25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PKC MAĐARA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D1C5" w14:textId="77777777" w:rsidR="00A73F8D" w:rsidRPr="00A73F8D" w:rsidRDefault="00727A64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F150C">
              <w:rPr>
                <w:rFonts w:ascii="Calibri" w:hAnsi="Calibri" w:cs="Calibri"/>
                <w:sz w:val="22"/>
                <w:szCs w:val="22"/>
              </w:rPr>
              <w:t>133.452</w:t>
            </w:r>
          </w:p>
        </w:tc>
      </w:tr>
      <w:tr w:rsidR="00A73F8D" w:rsidRPr="00A73F8D" w14:paraId="0CD5433B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7C67D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FILIPOVIĆ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66ECB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271.213</w:t>
            </w:r>
          </w:p>
        </w:tc>
      </w:tr>
      <w:tr w:rsidR="00A73F8D" w:rsidRPr="00A73F8D" w14:paraId="21EE8A4A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0EDF8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CESARIĆ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447F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123.154</w:t>
            </w:r>
          </w:p>
        </w:tc>
      </w:tr>
      <w:tr w:rsidR="00A73F8D" w:rsidRPr="00A73F8D" w14:paraId="378E99DA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BFDAA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FRANKOPAN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F5938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116.525</w:t>
            </w:r>
          </w:p>
        </w:tc>
      </w:tr>
      <w:tr w:rsidR="00A73F8D" w:rsidRPr="00A73F8D" w14:paraId="7837B5B6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1183C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MLADOST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BA00C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114.206</w:t>
            </w:r>
          </w:p>
        </w:tc>
      </w:tr>
      <w:tr w:rsidR="00A73F8D" w:rsidRPr="00A73F8D" w14:paraId="2C95C5BB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300A8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lastRenderedPageBreak/>
              <w:t>OŠ TRUHELKA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CD220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112.008</w:t>
            </w:r>
          </w:p>
        </w:tc>
      </w:tr>
      <w:tr w:rsidR="00A73F8D" w:rsidRPr="00A73F8D" w14:paraId="1FF39C22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F61F1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TENJA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D12B6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106.471</w:t>
            </w:r>
          </w:p>
        </w:tc>
      </w:tr>
      <w:tr w:rsidR="00A73F8D" w:rsidRPr="00A73F8D" w14:paraId="43262803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99589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LJUDEVIT GAJ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A8E68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96.806</w:t>
            </w:r>
          </w:p>
        </w:tc>
      </w:tr>
      <w:tr w:rsidR="00A73F8D" w:rsidRPr="00A73F8D" w14:paraId="36BD308F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9DB39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JOSIPOVAC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BF545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78.759</w:t>
            </w:r>
          </w:p>
        </w:tc>
      </w:tr>
      <w:tr w:rsidR="00A73F8D" w:rsidRPr="00A73F8D" w14:paraId="7DB6D17A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CA549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MIHANOVIĆ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D9201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61.806</w:t>
            </w:r>
          </w:p>
        </w:tc>
      </w:tr>
      <w:tr w:rsidR="00A73F8D" w:rsidRPr="00A73F8D" w14:paraId="64A97113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F4076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GRIGOR VITEZ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8E016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61.271</w:t>
            </w:r>
          </w:p>
        </w:tc>
      </w:tr>
      <w:tr w:rsidR="00A73F8D" w:rsidRPr="00A73F8D" w14:paraId="77077897" w14:textId="77777777" w:rsidTr="00727A64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3D1E0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SVETE ANE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74E66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28.353</w:t>
            </w:r>
          </w:p>
        </w:tc>
      </w:tr>
      <w:tr w:rsidR="00A73F8D" w:rsidRPr="00A73F8D" w14:paraId="5358FF14" w14:textId="77777777" w:rsidTr="00727A64">
        <w:trPr>
          <w:trHeight w:val="300"/>
        </w:trPr>
        <w:tc>
          <w:tcPr>
            <w:tcW w:w="6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B61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Kulturni centar Osijek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E243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22.655</w:t>
            </w:r>
          </w:p>
        </w:tc>
      </w:tr>
      <w:tr w:rsidR="00727A64" w:rsidRPr="00A73F8D" w14:paraId="4CFBE4EE" w14:textId="77777777" w:rsidTr="00727A64">
        <w:trPr>
          <w:trHeight w:val="300"/>
        </w:trPr>
        <w:tc>
          <w:tcPr>
            <w:tcW w:w="6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7AD5" w14:textId="77777777" w:rsidR="00727A64" w:rsidRPr="00A73F8D" w:rsidRDefault="00727A64" w:rsidP="00A73F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FB0BAE" w14:textId="77777777" w:rsidR="00727A64" w:rsidRPr="00A73F8D" w:rsidRDefault="00727A64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F8D" w:rsidRPr="00A73F8D" w14:paraId="18E83CBE" w14:textId="77777777" w:rsidTr="00A73F8D">
        <w:trPr>
          <w:trHeight w:val="300"/>
        </w:trPr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A6CAD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OŠ VIJENAC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83078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5.887</w:t>
            </w:r>
          </w:p>
        </w:tc>
      </w:tr>
      <w:tr w:rsidR="00A73F8D" w:rsidRPr="00A73F8D" w14:paraId="38DDF73F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1400" w14:textId="77777777" w:rsidR="00A73F8D" w:rsidRPr="00A73F8D" w:rsidRDefault="00A73F8D" w:rsidP="00A73F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3F8D">
              <w:rPr>
                <w:rFonts w:ascii="Calibri" w:hAnsi="Calibri" w:cs="Calibri"/>
                <w:b/>
                <w:bCs/>
                <w:sz w:val="22"/>
                <w:szCs w:val="22"/>
              </w:rPr>
              <w:t>Manjak za pokriće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F08B5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F8D" w:rsidRPr="00A73F8D" w14:paraId="142FEE2C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084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 xml:space="preserve">HNK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6F9F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-857.454</w:t>
            </w:r>
          </w:p>
        </w:tc>
      </w:tr>
      <w:tr w:rsidR="00A73F8D" w:rsidRPr="00A73F8D" w14:paraId="472E7CBA" w14:textId="77777777" w:rsidTr="00A73F8D">
        <w:trPr>
          <w:trHeight w:val="300"/>
        </w:trPr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0C56F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DJEČJE KAZALIŠTE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2F6B0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-80.365</w:t>
            </w:r>
          </w:p>
        </w:tc>
      </w:tr>
      <w:tr w:rsidR="00A73F8D" w:rsidRPr="00A73F8D" w14:paraId="67119149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3CDA6" w14:textId="77777777" w:rsidR="00A73F8D" w:rsidRPr="00A73F8D" w:rsidRDefault="00A73F8D" w:rsidP="00A73F8D">
            <w:pPr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GRADSKE GALERIJE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55097" w14:textId="77777777" w:rsidR="00A73F8D" w:rsidRPr="00A73F8D" w:rsidRDefault="00A73F8D" w:rsidP="00A73F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F8D">
              <w:rPr>
                <w:rFonts w:ascii="Calibri" w:hAnsi="Calibri" w:cs="Calibri"/>
                <w:sz w:val="22"/>
                <w:szCs w:val="22"/>
              </w:rPr>
              <w:t>-16.631</w:t>
            </w:r>
          </w:p>
        </w:tc>
      </w:tr>
      <w:tr w:rsidR="00A73F8D" w:rsidRPr="00A73F8D" w14:paraId="58D192EB" w14:textId="77777777" w:rsidTr="00A73F8D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94F5" w14:textId="77777777" w:rsidR="00A73F8D" w:rsidRPr="00A73F8D" w:rsidRDefault="00A73F8D" w:rsidP="00A73F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3F8D">
              <w:rPr>
                <w:rFonts w:ascii="Calibri" w:hAnsi="Calibri" w:cs="Calibri"/>
                <w:b/>
                <w:bCs/>
                <w:sz w:val="22"/>
                <w:szCs w:val="22"/>
              </w:rPr>
              <w:t>Konsolidirani višak prihoda i primitaka raspoloživ u sljedećem razdoblju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24303" w14:textId="6FBC429F" w:rsidR="00A73F8D" w:rsidRPr="00A73F8D" w:rsidRDefault="007469E8" w:rsidP="007469E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31.191.779</w:t>
            </w:r>
          </w:p>
        </w:tc>
      </w:tr>
    </w:tbl>
    <w:p w14:paraId="7AFE307D" w14:textId="77777777" w:rsidR="00A73F8D" w:rsidRPr="00C92E9A" w:rsidRDefault="00A73F8D" w:rsidP="001976BB">
      <w:pPr>
        <w:ind w:firstLine="708"/>
        <w:jc w:val="both"/>
        <w:rPr>
          <w:b/>
          <w:color w:val="FF0000"/>
        </w:rPr>
      </w:pPr>
    </w:p>
    <w:p w14:paraId="04971390" w14:textId="77777777" w:rsidR="007F3C6B" w:rsidRPr="00C92E9A" w:rsidRDefault="007F3C6B" w:rsidP="007F3C6B">
      <w:pPr>
        <w:ind w:firstLine="851"/>
        <w:rPr>
          <w:b/>
          <w:color w:val="FF0000"/>
          <w:highlight w:val="yellow"/>
        </w:rPr>
      </w:pPr>
    </w:p>
    <w:p w14:paraId="32D6415F" w14:textId="77777777" w:rsidR="007F3C6B" w:rsidRPr="0005203F" w:rsidRDefault="007F3C6B" w:rsidP="007F3C6B">
      <w:pPr>
        <w:ind w:firstLine="851"/>
        <w:rPr>
          <w:b/>
          <w:highlight w:val="yellow"/>
        </w:rPr>
      </w:pPr>
    </w:p>
    <w:p w14:paraId="6096ACFB" w14:textId="77777777" w:rsidR="007F3C6B" w:rsidRPr="0005203F" w:rsidRDefault="007F3C6B" w:rsidP="007F3C6B">
      <w:pPr>
        <w:ind w:firstLine="851"/>
        <w:rPr>
          <w:b/>
          <w:highlight w:val="yellow"/>
        </w:rPr>
      </w:pPr>
    </w:p>
    <w:p w14:paraId="0F77005D" w14:textId="77777777" w:rsidR="007F3C6B" w:rsidRPr="0005203F" w:rsidRDefault="00046880" w:rsidP="00046880">
      <w:r w:rsidRPr="0005203F">
        <w:t>Pregled p</w:t>
      </w:r>
      <w:r w:rsidR="007F3C6B" w:rsidRPr="0005203F">
        <w:t>roračunski</w:t>
      </w:r>
      <w:r w:rsidRPr="0005203F">
        <w:t>h</w:t>
      </w:r>
      <w:r w:rsidR="007F3C6B" w:rsidRPr="0005203F">
        <w:t xml:space="preserve"> korisni</w:t>
      </w:r>
      <w:r w:rsidRPr="0005203F">
        <w:t>ka</w:t>
      </w:r>
      <w:r w:rsidR="001007B0" w:rsidRPr="0005203F">
        <w:t xml:space="preserve"> koji su tijekom 20</w:t>
      </w:r>
      <w:r w:rsidR="00C92E9A">
        <w:t>20</w:t>
      </w:r>
      <w:r w:rsidRPr="0005203F">
        <w:t>.</w:t>
      </w:r>
      <w:r w:rsidR="007F3C6B" w:rsidRPr="0005203F">
        <w:t xml:space="preserve"> radili ispravak rezultata</w:t>
      </w:r>
      <w:r w:rsidRPr="0005203F">
        <w:t>:</w:t>
      </w:r>
    </w:p>
    <w:p w14:paraId="6355A7D4" w14:textId="77777777" w:rsidR="007F3C6B" w:rsidRPr="00DF0295" w:rsidRDefault="00056823" w:rsidP="00056823">
      <w:pPr>
        <w:rPr>
          <w:b/>
          <w:highlight w:val="yellow"/>
        </w:rPr>
      </w:pPr>
      <w:r w:rsidRPr="00056823">
        <w:rPr>
          <w:noProof/>
        </w:rPr>
        <w:drawing>
          <wp:inline distT="0" distB="0" distL="0" distR="0" wp14:anchorId="6180E310" wp14:editId="2893D380">
            <wp:extent cx="6000750" cy="2552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77" cy="255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6B1F" w14:textId="77777777" w:rsidR="007F3C6B" w:rsidRPr="00DF0295" w:rsidRDefault="007F3C6B" w:rsidP="007F3C6B">
      <w:pPr>
        <w:ind w:firstLine="851"/>
        <w:jc w:val="center"/>
        <w:rPr>
          <w:b/>
          <w:highlight w:val="yellow"/>
        </w:rPr>
      </w:pPr>
    </w:p>
    <w:p w14:paraId="725E6ECF" w14:textId="77777777" w:rsidR="007F3C6B" w:rsidRPr="008100F3" w:rsidRDefault="007F3C6B" w:rsidP="007F3C6B">
      <w:pPr>
        <w:ind w:firstLine="851"/>
        <w:jc w:val="both"/>
      </w:pPr>
      <w:r w:rsidRPr="008100F3">
        <w:t>Od navedenih ispravaka najveći se od</w:t>
      </w:r>
      <w:r w:rsidR="008100F3" w:rsidRPr="008100F3">
        <w:t>nosi na HNK koji je tijekom 20</w:t>
      </w:r>
      <w:r w:rsidR="00641F2F">
        <w:t>20</w:t>
      </w:r>
      <w:r w:rsidRPr="008100F3">
        <w:t xml:space="preserve">. od suosnivača Osječko-baranjske županije primio </w:t>
      </w:r>
      <w:r w:rsidR="00641F2F">
        <w:t>6</w:t>
      </w:r>
      <w:r w:rsidRPr="008100F3">
        <w:t>00.000 kn zbog sanacije manjka. Preostali proračun</w:t>
      </w:r>
      <w:r w:rsidR="008100F3" w:rsidRPr="008100F3">
        <w:t>ski korisnici radili su korekciju rezultata radi povrata neiskorištenog dijela sredstava HZZ-u za stručno osposobljavanje te</w:t>
      </w:r>
      <w:r w:rsidRPr="008100F3">
        <w:t xml:space="preserve"> zbog utvrđenih netočnih knjiženja</w:t>
      </w:r>
      <w:r w:rsidR="008100F3" w:rsidRPr="008100F3">
        <w:t xml:space="preserve">. </w:t>
      </w:r>
    </w:p>
    <w:p w14:paraId="2BCDE047" w14:textId="77777777" w:rsidR="007F3C6B" w:rsidRDefault="007F3C6B" w:rsidP="007F3C6B">
      <w:pPr>
        <w:ind w:firstLine="851"/>
        <w:jc w:val="center"/>
        <w:rPr>
          <w:b/>
          <w:highlight w:val="yellow"/>
        </w:rPr>
      </w:pPr>
    </w:p>
    <w:p w14:paraId="1421DEFC" w14:textId="77777777" w:rsidR="00596E5C" w:rsidRDefault="00596E5C" w:rsidP="007F3C6B">
      <w:pPr>
        <w:ind w:firstLine="851"/>
        <w:jc w:val="center"/>
        <w:rPr>
          <w:b/>
          <w:highlight w:val="yellow"/>
        </w:rPr>
      </w:pPr>
    </w:p>
    <w:p w14:paraId="72741F31" w14:textId="77777777" w:rsidR="00596E5C" w:rsidRDefault="00596E5C" w:rsidP="007F3C6B">
      <w:pPr>
        <w:ind w:firstLine="851"/>
        <w:jc w:val="center"/>
        <w:rPr>
          <w:b/>
          <w:highlight w:val="yellow"/>
        </w:rPr>
      </w:pPr>
    </w:p>
    <w:p w14:paraId="6BDD9D19" w14:textId="77777777" w:rsidR="00596E5C" w:rsidRDefault="00596E5C" w:rsidP="007F3C6B">
      <w:pPr>
        <w:ind w:firstLine="851"/>
        <w:jc w:val="center"/>
        <w:rPr>
          <w:b/>
          <w:highlight w:val="yellow"/>
        </w:rPr>
      </w:pPr>
    </w:p>
    <w:p w14:paraId="2FE0C37E" w14:textId="77777777" w:rsidR="00D80E9F" w:rsidRPr="00DF0295" w:rsidRDefault="00D80E9F" w:rsidP="00D80E9F">
      <w:pPr>
        <w:ind w:left="708" w:hanging="8"/>
        <w:rPr>
          <w:b/>
          <w:highlight w:val="yellow"/>
        </w:rPr>
      </w:pPr>
    </w:p>
    <w:p w14:paraId="5CB8728B" w14:textId="77777777" w:rsidR="00DC0E53" w:rsidRDefault="005F0C21" w:rsidP="00BA3CD9">
      <w:pPr>
        <w:ind w:left="708" w:firstLine="143"/>
        <w:jc w:val="both"/>
        <w:rPr>
          <w:b/>
        </w:rPr>
      </w:pPr>
      <w:r w:rsidRPr="00163EFF">
        <w:rPr>
          <w:b/>
        </w:rPr>
        <w:lastRenderedPageBreak/>
        <w:t>Izvanbilančni zapisi</w:t>
      </w:r>
    </w:p>
    <w:p w14:paraId="2B0F1A0F" w14:textId="77777777" w:rsidR="00B2054C" w:rsidRPr="00163EFF" w:rsidRDefault="00B2054C" w:rsidP="00BA3CD9">
      <w:pPr>
        <w:ind w:left="708" w:firstLine="143"/>
        <w:jc w:val="both"/>
        <w:rPr>
          <w:b/>
        </w:rPr>
      </w:pPr>
    </w:p>
    <w:p w14:paraId="7D6789F0" w14:textId="77777777" w:rsidR="009D293A" w:rsidRPr="006C2193" w:rsidRDefault="009D293A" w:rsidP="009D293A">
      <w:pPr>
        <w:jc w:val="both"/>
      </w:pPr>
      <w:r w:rsidRPr="006C2193">
        <w:rPr>
          <w:b/>
        </w:rPr>
        <w:t>AOP 246</w:t>
      </w:r>
      <w:r w:rsidR="00887553">
        <w:t xml:space="preserve"> </w:t>
      </w:r>
      <w:r w:rsidR="00887553">
        <w:tab/>
      </w:r>
      <w:r w:rsidRPr="006C2193">
        <w:t>U okviru iskazanih izvanbilančnih zapisa nalaze se dana jamstava i suglasnosti za dugoročno zaduživanje trgovačkih društava i ustanova u većinskom vlasništvu Grada Osijeka, korištenje tuđe imovine (oprema iz robnih rezervi RH)</w:t>
      </w:r>
      <w:r>
        <w:t>, sudski sporovi, primljeni i dani instrumenti osiguranja plaćanja</w:t>
      </w:r>
      <w:r w:rsidRPr="006C2193">
        <w:t xml:space="preserve"> i dr.</w:t>
      </w:r>
    </w:p>
    <w:p w14:paraId="0823A9E3" w14:textId="77777777" w:rsidR="009D293A" w:rsidRPr="00426F2E" w:rsidRDefault="009D293A" w:rsidP="009D293A">
      <w:pPr>
        <w:jc w:val="both"/>
        <w:rPr>
          <w:highlight w:val="yellow"/>
        </w:rPr>
      </w:pPr>
    </w:p>
    <w:p w14:paraId="5B3919F1" w14:textId="77777777" w:rsidR="009D293A" w:rsidRPr="00094189" w:rsidRDefault="009D293A" w:rsidP="009D293A">
      <w:pPr>
        <w:jc w:val="both"/>
      </w:pPr>
      <w:r w:rsidRPr="00786620">
        <w:t>Stanje danih jamstava</w:t>
      </w:r>
      <w:r>
        <w:t xml:space="preserve"> i suglasnosti </w:t>
      </w:r>
      <w:r w:rsidRPr="00786620">
        <w:t>Grada Osijeka na dan 31.12.20</w:t>
      </w:r>
      <w:r>
        <w:t>20. iznosi 82</w:t>
      </w:r>
      <w:r w:rsidRPr="00786620">
        <w:t>.</w:t>
      </w:r>
      <w:r>
        <w:t>962</w:t>
      </w:r>
      <w:r w:rsidRPr="00786620">
        <w:t>.</w:t>
      </w:r>
      <w:r>
        <w:t>506</w:t>
      </w:r>
      <w:r w:rsidRPr="00786620">
        <w:t xml:space="preserve"> kn</w:t>
      </w:r>
      <w:r>
        <w:t>. Dana jamstva su 82</w:t>
      </w:r>
      <w:r w:rsidRPr="00786620">
        <w:t>.</w:t>
      </w:r>
      <w:r>
        <w:t>173</w:t>
      </w:r>
      <w:r w:rsidRPr="00786620">
        <w:t>.</w:t>
      </w:r>
      <w:r>
        <w:t>908</w:t>
      </w:r>
      <w:r w:rsidRPr="00786620">
        <w:t xml:space="preserve"> kn i odnos</w:t>
      </w:r>
      <w:r>
        <w:t>e</w:t>
      </w:r>
      <w:r w:rsidRPr="00786620">
        <w:t xml:space="preserve"> se na </w:t>
      </w:r>
      <w:r w:rsidRPr="00094189">
        <w:t>sljedeća trgovačka društva i ustanove:</w:t>
      </w:r>
    </w:p>
    <w:p w14:paraId="38A52065" w14:textId="77777777" w:rsidR="009D293A" w:rsidRPr="00094189" w:rsidRDefault="009D293A" w:rsidP="009D293A">
      <w:pPr>
        <w:jc w:val="both"/>
      </w:pPr>
      <w:r w:rsidRPr="00094189">
        <w:t>GPP d.o.o. Osijek</w:t>
      </w:r>
      <w:r w:rsidRPr="00094189">
        <w:tab/>
      </w:r>
      <w:r w:rsidRPr="00094189">
        <w:tab/>
      </w:r>
      <w:r w:rsidRPr="00094189">
        <w:tab/>
      </w:r>
      <w:r>
        <w:t xml:space="preserve">  58</w:t>
      </w:r>
      <w:r w:rsidRPr="00094189">
        <w:t>.</w:t>
      </w:r>
      <w:r>
        <w:t>310</w:t>
      </w:r>
      <w:r w:rsidRPr="00094189">
        <w:t>.</w:t>
      </w:r>
      <w:r>
        <w:t>556</w:t>
      </w:r>
      <w:r w:rsidRPr="00094189">
        <w:t xml:space="preserve"> kn</w:t>
      </w:r>
    </w:p>
    <w:p w14:paraId="31D8A779" w14:textId="77777777" w:rsidR="009D293A" w:rsidRPr="00094189" w:rsidRDefault="009D293A" w:rsidP="009D293A">
      <w:pPr>
        <w:jc w:val="both"/>
      </w:pPr>
      <w:r w:rsidRPr="00094189">
        <w:t>Vodovod-Osijek d.o.o.</w:t>
      </w:r>
      <w:r w:rsidRPr="00094189">
        <w:tab/>
      </w:r>
      <w:r w:rsidRPr="00094189">
        <w:tab/>
        <w:t xml:space="preserve">  </w:t>
      </w:r>
      <w:r>
        <w:t>23</w:t>
      </w:r>
      <w:r w:rsidRPr="00094189">
        <w:t>.</w:t>
      </w:r>
      <w:r>
        <w:t>863</w:t>
      </w:r>
      <w:r w:rsidRPr="00094189">
        <w:t>.</w:t>
      </w:r>
      <w:r>
        <w:t>352</w:t>
      </w:r>
      <w:r w:rsidRPr="00094189">
        <w:t xml:space="preserve"> kn</w:t>
      </w:r>
    </w:p>
    <w:p w14:paraId="5F9D8C32" w14:textId="77777777" w:rsidR="009D293A" w:rsidRPr="00426F2E" w:rsidRDefault="009D293A" w:rsidP="009D293A">
      <w:pPr>
        <w:jc w:val="both"/>
        <w:rPr>
          <w:highlight w:val="yellow"/>
        </w:rPr>
      </w:pPr>
    </w:p>
    <w:p w14:paraId="3A183FB1" w14:textId="77777777" w:rsidR="009D293A" w:rsidRDefault="009D293A" w:rsidP="009D293A">
      <w:pPr>
        <w:jc w:val="both"/>
      </w:pPr>
      <w:r>
        <w:t>Obveze po danim s</w:t>
      </w:r>
      <w:r w:rsidRPr="00AB579E">
        <w:t>uglasnosti</w:t>
      </w:r>
      <w:r>
        <w:t>ma</w:t>
      </w:r>
      <w:r w:rsidRPr="00AB579E">
        <w:t xml:space="preserve"> za zaduživanje</w:t>
      </w:r>
      <w:r>
        <w:t xml:space="preserve"> na 31.12.2020. iznose 788.598 kn. Odnose se na sljedeća trgovačka društva u većinskom vlasništvu Grada Osijeka:</w:t>
      </w:r>
      <w:r w:rsidRPr="00AB579E">
        <w:t xml:space="preserve"> Tržnica d.o.o. Osijek</w:t>
      </w:r>
      <w:r>
        <w:t xml:space="preserve"> 387.698 kn</w:t>
      </w:r>
      <w:r w:rsidRPr="00AB579E">
        <w:t>, Športski objekti d.</w:t>
      </w:r>
      <w:r>
        <w:t xml:space="preserve">o.o. Osijek 157.020 kn i Ukop d.o.o. Osijek 243.880 kn. </w:t>
      </w:r>
    </w:p>
    <w:p w14:paraId="4F5047DC" w14:textId="77777777" w:rsidR="009D293A" w:rsidRDefault="009D293A" w:rsidP="009D293A">
      <w:pPr>
        <w:jc w:val="both"/>
      </w:pPr>
    </w:p>
    <w:p w14:paraId="55E1A59A" w14:textId="77777777" w:rsidR="009D293A" w:rsidRDefault="009D293A" w:rsidP="009D293A">
      <w:pPr>
        <w:spacing w:after="120" w:line="276" w:lineRule="auto"/>
        <w:jc w:val="both"/>
      </w:pPr>
      <w:r w:rsidRPr="00E64670">
        <w:t>Grad Osijek ima ustrojenu evidenciju odnosno registar sudskih predmeta iz kojeg je vidljiva analitika po pojedinim dionicima s procjenom vrijednosti spora i procijenjenim vremenom priljeva i odljeva. Skraćeni tablični pregled dajemo u nastavku ovih bilješki. Financijski učinak kao i očekivano trajanje teško je procijeniti jer značajniji sporovi velike vrijednosti traju već niz godina. Trenutno je u postupku 199 predmeta. Sudski postupci se u najvećem broju  odnose na naplatu prihoda od prodaje gradskih stanova obročnom otplatom;  iseljenja iz stanova koje koriste bespravni korisnici; iseljenja iz poslovnih prostora radi neplaćanja zakupnine; zatim ošasne imovine (imovine bez nasljednika) i predmeta koji proizlaze iz te imovine odnosno ostavine; sporovi radi priznavanja prava vlasništva dosjelošću; građenjem itd.; naknade šteta zbog nezgoda na javnim površinama i dr</w:t>
      </w:r>
      <w:r>
        <w:t>ugo.</w:t>
      </w:r>
    </w:p>
    <w:p w14:paraId="4C9AE740" w14:textId="77777777" w:rsidR="009D293A" w:rsidRDefault="009D293A" w:rsidP="009D293A">
      <w:pPr>
        <w:spacing w:after="120" w:line="276" w:lineRule="auto"/>
        <w:jc w:val="both"/>
      </w:pPr>
    </w:p>
    <w:tbl>
      <w:tblPr>
        <w:tblW w:w="3760" w:type="dxa"/>
        <w:tblLook w:val="04A0" w:firstRow="1" w:lastRow="0" w:firstColumn="1" w:lastColumn="0" w:noHBand="0" w:noVBand="1"/>
      </w:tblPr>
      <w:tblGrid>
        <w:gridCol w:w="1536"/>
        <w:gridCol w:w="2420"/>
      </w:tblGrid>
      <w:tr w:rsidR="009D293A" w:rsidRPr="002B53D6" w14:paraId="539B0496" w14:textId="77777777" w:rsidTr="006568BD">
        <w:trPr>
          <w:trHeight w:val="6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813" w14:textId="77777777" w:rsidR="009D293A" w:rsidRPr="002B53D6" w:rsidRDefault="009D293A" w:rsidP="006568BD">
            <w:pPr>
              <w:jc w:val="center"/>
              <w:rPr>
                <w:color w:val="000000"/>
              </w:rPr>
            </w:pPr>
            <w:r w:rsidRPr="002B53D6">
              <w:rPr>
                <w:color w:val="000000"/>
              </w:rPr>
              <w:t>Vrsta spora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9B56" w14:textId="77777777" w:rsidR="009D293A" w:rsidRPr="002B53D6" w:rsidRDefault="009D293A" w:rsidP="006568BD">
            <w:pPr>
              <w:jc w:val="center"/>
              <w:rPr>
                <w:color w:val="000000"/>
              </w:rPr>
            </w:pPr>
            <w:r w:rsidRPr="002B53D6">
              <w:rPr>
                <w:color w:val="000000"/>
              </w:rPr>
              <w:t>Vrijednost po vrsti spora na 31.12.2020.</w:t>
            </w:r>
          </w:p>
        </w:tc>
      </w:tr>
      <w:tr w:rsidR="009D293A" w:rsidRPr="002B53D6" w14:paraId="41248BCF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03B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D4C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68.413.603</w:t>
            </w:r>
          </w:p>
        </w:tc>
      </w:tr>
      <w:tr w:rsidR="009D293A" w:rsidRPr="002B53D6" w14:paraId="41E2870E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DD1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Ovršni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7B1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2.751.911</w:t>
            </w:r>
          </w:p>
        </w:tc>
      </w:tr>
      <w:tr w:rsidR="009D293A" w:rsidRPr="002B53D6" w14:paraId="4ADF938B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130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Izvanparnični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4C1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1.199.000</w:t>
            </w:r>
          </w:p>
        </w:tc>
      </w:tr>
      <w:tr w:rsidR="009D293A" w:rsidRPr="002B53D6" w14:paraId="3A95A765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16C1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Ostali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374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154.401</w:t>
            </w:r>
          </w:p>
        </w:tc>
      </w:tr>
      <w:tr w:rsidR="009D293A" w:rsidRPr="002B53D6" w14:paraId="33748EF0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A15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Ostavinski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99AF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104.437</w:t>
            </w:r>
          </w:p>
        </w:tc>
      </w:tr>
      <w:tr w:rsidR="009D293A" w:rsidRPr="002B53D6" w14:paraId="610AD0BA" w14:textId="77777777" w:rsidTr="006568B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827" w14:textId="77777777" w:rsidR="009D293A" w:rsidRPr="002B53D6" w:rsidRDefault="009D293A" w:rsidP="006568BD">
            <w:pPr>
              <w:rPr>
                <w:color w:val="000000"/>
              </w:rPr>
            </w:pPr>
            <w:r w:rsidRPr="002B53D6">
              <w:rPr>
                <w:color w:val="000000"/>
              </w:rPr>
              <w:t>Upravni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747" w14:textId="77777777" w:rsidR="009D293A" w:rsidRPr="002B53D6" w:rsidRDefault="009D293A" w:rsidP="006568BD">
            <w:pPr>
              <w:jc w:val="right"/>
              <w:rPr>
                <w:color w:val="000000"/>
              </w:rPr>
            </w:pPr>
            <w:r w:rsidRPr="002B53D6">
              <w:rPr>
                <w:color w:val="000000"/>
              </w:rPr>
              <w:t>10.000</w:t>
            </w:r>
          </w:p>
        </w:tc>
      </w:tr>
      <w:tr w:rsidR="009D293A" w:rsidRPr="002B53D6" w14:paraId="7A90663A" w14:textId="77777777" w:rsidTr="006568BD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69C6" w14:textId="77777777" w:rsidR="009D293A" w:rsidRPr="002B53D6" w:rsidRDefault="009D293A" w:rsidP="006568BD">
            <w:pPr>
              <w:rPr>
                <w:b/>
                <w:bCs/>
                <w:color w:val="000000"/>
              </w:rPr>
            </w:pPr>
            <w:r w:rsidRPr="002B53D6"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AF2" w14:textId="77777777" w:rsidR="009D293A" w:rsidRPr="002B53D6" w:rsidRDefault="009D293A" w:rsidP="006568BD">
            <w:pPr>
              <w:jc w:val="right"/>
              <w:rPr>
                <w:b/>
                <w:bCs/>
                <w:color w:val="000000"/>
              </w:rPr>
            </w:pPr>
            <w:r w:rsidRPr="002B53D6">
              <w:rPr>
                <w:b/>
                <w:bCs/>
                <w:color w:val="000000"/>
              </w:rPr>
              <w:t>72.633.353</w:t>
            </w:r>
          </w:p>
        </w:tc>
      </w:tr>
    </w:tbl>
    <w:p w14:paraId="10AEC9FE" w14:textId="77777777" w:rsidR="009D293A" w:rsidRPr="00E64670" w:rsidRDefault="009D293A" w:rsidP="009D293A">
      <w:pPr>
        <w:jc w:val="both"/>
        <w:rPr>
          <w:highlight w:val="yellow"/>
        </w:rPr>
      </w:pPr>
    </w:p>
    <w:p w14:paraId="1C87BFC3" w14:textId="77777777" w:rsidR="009D293A" w:rsidRDefault="009D293A" w:rsidP="009D293A">
      <w:pPr>
        <w:jc w:val="both"/>
      </w:pPr>
      <w:r w:rsidRPr="00E64670">
        <w:t xml:space="preserve">Od dugogodišnjih sudskih predmeta velikih vrijednosti koji još traju, izdvajamo sudski spor sa tvrtkom Strabag i Saubermacher AG gdje je Grad Osijek, kao jedan od osnivača ZOIS - Javne ustanove za zbrinjavanje komunalnog otpada istočne Slavonije, zajedno sa drugim osnivačima tužen na temelju </w:t>
      </w:r>
      <w:r w:rsidRPr="00131744">
        <w:t xml:space="preserve">solidarne odgovornosti. Pred sudovima u Republici Hrvatskoj vodi se šest sudskih sporova u kojima su ZOIS, odnosno Grad Osijek tužitelj ili tuženi. Vrijednost spora iznosi 5.689.055 EUR-a uvećana za zatezne kamate i troškove. Udio grada Osijeka u vrijednosti </w:t>
      </w:r>
      <w:r w:rsidRPr="00131744">
        <w:lastRenderedPageBreak/>
        <w:t>spora je 43,3%, odnosno 2.463.361 EUR-a iznosa glavnice. Preostali dio iznosa odnosi se na obračunate zatezne kamate i parnične troškove tako da na dan 31.12.2020. glavni dug, zakonska zatezna kamata i troškovi postupka iznose</w:t>
      </w:r>
      <w:r>
        <w:t xml:space="preserve"> 52.6</w:t>
      </w:r>
      <w:r w:rsidRPr="00131744">
        <w:t>84.164 kn kn.</w:t>
      </w:r>
      <w:r>
        <w:t xml:space="preserve"> </w:t>
      </w:r>
    </w:p>
    <w:p w14:paraId="1ED44EF1" w14:textId="77777777" w:rsidR="009D293A" w:rsidRDefault="009D293A" w:rsidP="009D293A"/>
    <w:p w14:paraId="51E548BE" w14:textId="77777777" w:rsidR="009D293A" w:rsidRPr="002A23BD" w:rsidRDefault="009D293A" w:rsidP="009D293A">
      <w:pPr>
        <w:ind w:firstLine="708"/>
        <w:jc w:val="both"/>
        <w:rPr>
          <w:color w:val="FF0000"/>
        </w:rPr>
      </w:pPr>
      <w:r>
        <w:t>Pregled danih i primljenih instrumenata osiguranja plaćanja vidljiv je iz sljedećih tablica:</w:t>
      </w: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</w:tblGrid>
      <w:tr w:rsidR="009D293A" w:rsidRPr="00310C7A" w14:paraId="410E71FB" w14:textId="77777777" w:rsidTr="006568BD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4248F04" w14:textId="77777777" w:rsidR="009D293A" w:rsidRPr="00310C7A" w:rsidRDefault="009D293A" w:rsidP="006568BD">
            <w:pPr>
              <w:rPr>
                <w:b/>
                <w:bCs/>
                <w:sz w:val="20"/>
                <w:szCs w:val="20"/>
              </w:rPr>
            </w:pPr>
            <w:r w:rsidRPr="00310C7A">
              <w:rPr>
                <w:b/>
                <w:bCs/>
                <w:sz w:val="20"/>
                <w:szCs w:val="20"/>
              </w:rPr>
              <w:t>Primljeni instrumenti osiguranja plaćanja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8F7F2B" w14:textId="77777777" w:rsidR="009D293A" w:rsidRPr="00310C7A" w:rsidRDefault="009D293A" w:rsidP="006568BD">
            <w:pPr>
              <w:jc w:val="center"/>
              <w:rPr>
                <w:b/>
                <w:sz w:val="20"/>
                <w:szCs w:val="20"/>
              </w:rPr>
            </w:pPr>
            <w:r w:rsidRPr="00310C7A">
              <w:rPr>
                <w:b/>
                <w:sz w:val="20"/>
                <w:szCs w:val="20"/>
              </w:rPr>
              <w:t>Iznos</w:t>
            </w:r>
          </w:p>
        </w:tc>
      </w:tr>
      <w:tr w:rsidR="009D293A" w:rsidRPr="00310C7A" w14:paraId="10064D70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9075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Bankarske garancije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663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310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856</w:t>
            </w:r>
            <w:r w:rsidRPr="00310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394</w:t>
            </w:r>
          </w:p>
        </w:tc>
      </w:tr>
      <w:tr w:rsidR="009D293A" w:rsidRPr="00310C7A" w14:paraId="4418F907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8160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Bjanko mjenica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8DA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1.085.613</w:t>
            </w:r>
          </w:p>
        </w:tc>
      </w:tr>
      <w:tr w:rsidR="009D293A" w:rsidRPr="00310C7A" w14:paraId="76ACDEA2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67A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Zadužnica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FD22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36.286.679</w:t>
            </w:r>
          </w:p>
        </w:tc>
      </w:tr>
      <w:tr w:rsidR="009D293A" w:rsidRPr="00310C7A" w14:paraId="3FE534E3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286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Ukupni zbroj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DA50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126.228.686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72AABD3" w14:textId="77777777" w:rsidR="009D293A" w:rsidRPr="00310C7A" w:rsidRDefault="009D293A" w:rsidP="009D293A">
      <w:pPr>
        <w:jc w:val="center"/>
        <w:rPr>
          <w:b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</w:tblGrid>
      <w:tr w:rsidR="009D293A" w:rsidRPr="00310C7A" w14:paraId="62ABFA4B" w14:textId="77777777" w:rsidTr="006568BD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B0EA2CF" w14:textId="77777777" w:rsidR="009D293A" w:rsidRPr="00310C7A" w:rsidRDefault="009D293A" w:rsidP="006568BD">
            <w:pPr>
              <w:rPr>
                <w:b/>
                <w:bCs/>
                <w:sz w:val="20"/>
                <w:szCs w:val="20"/>
              </w:rPr>
            </w:pPr>
            <w:r w:rsidRPr="00310C7A">
              <w:rPr>
                <w:b/>
                <w:bCs/>
                <w:sz w:val="20"/>
                <w:szCs w:val="20"/>
              </w:rPr>
              <w:t xml:space="preserve">Izdani instrumenti osiguranja plaćanja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14:paraId="1B889AEB" w14:textId="77777777" w:rsidR="009D293A" w:rsidRPr="00310C7A" w:rsidRDefault="009D293A" w:rsidP="006568BD">
            <w:pPr>
              <w:jc w:val="center"/>
              <w:rPr>
                <w:b/>
                <w:sz w:val="20"/>
                <w:szCs w:val="20"/>
              </w:rPr>
            </w:pPr>
            <w:r w:rsidRPr="00310C7A">
              <w:rPr>
                <w:b/>
                <w:sz w:val="20"/>
                <w:szCs w:val="20"/>
              </w:rPr>
              <w:t>Iznos</w:t>
            </w:r>
          </w:p>
        </w:tc>
      </w:tr>
      <w:tr w:rsidR="009D293A" w:rsidRPr="00310C7A" w14:paraId="4B1433AD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FAD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Zadužnica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748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17.781.087</w:t>
            </w:r>
          </w:p>
        </w:tc>
      </w:tr>
      <w:tr w:rsidR="009D293A" w:rsidRPr="00310C7A" w14:paraId="0282F070" w14:textId="77777777" w:rsidTr="006568B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AB0" w14:textId="77777777" w:rsidR="009D293A" w:rsidRPr="00310C7A" w:rsidRDefault="009D293A" w:rsidP="006568BD">
            <w:pPr>
              <w:rPr>
                <w:sz w:val="20"/>
                <w:szCs w:val="20"/>
              </w:rPr>
            </w:pPr>
            <w:r w:rsidRPr="00310C7A">
              <w:rPr>
                <w:sz w:val="20"/>
                <w:szCs w:val="20"/>
              </w:rPr>
              <w:t>UKUPNO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2FC9" w14:textId="77777777" w:rsidR="009D293A" w:rsidRPr="00310C7A" w:rsidRDefault="009D293A" w:rsidP="006568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17.781.087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44EB7ED" w14:textId="77777777" w:rsidR="00163EFF" w:rsidRDefault="00163EFF" w:rsidP="00D80E9F">
      <w:pPr>
        <w:jc w:val="center"/>
        <w:rPr>
          <w:b/>
          <w:highlight w:val="yellow"/>
        </w:rPr>
      </w:pPr>
    </w:p>
    <w:p w14:paraId="0AF2E4A2" w14:textId="77777777" w:rsidR="00FF39C4" w:rsidRPr="00046898" w:rsidRDefault="00163EFF" w:rsidP="000D6AFC">
      <w:pPr>
        <w:ind w:firstLine="708"/>
        <w:jc w:val="both"/>
      </w:pPr>
      <w:r w:rsidRPr="00046898">
        <w:t xml:space="preserve">U okviru korisnika </w:t>
      </w:r>
      <w:r w:rsidR="00E25648" w:rsidRPr="00046898">
        <w:t xml:space="preserve">na kontu </w:t>
      </w:r>
      <w:r w:rsidR="00B60039" w:rsidRPr="00046898">
        <w:t>Izvanbilančni zapisi</w:t>
      </w:r>
      <w:r w:rsidR="00E25648" w:rsidRPr="00046898">
        <w:t xml:space="preserve"> iskazan je ukupni iznos od </w:t>
      </w:r>
      <w:r w:rsidR="00FF39C4" w:rsidRPr="00046898">
        <w:t>8</w:t>
      </w:r>
      <w:r w:rsidR="00E25648" w:rsidRPr="00046898">
        <w:t>.</w:t>
      </w:r>
      <w:r w:rsidR="00FF39C4" w:rsidRPr="00046898">
        <w:t>884</w:t>
      </w:r>
      <w:r w:rsidR="00E25648" w:rsidRPr="00046898">
        <w:t>.</w:t>
      </w:r>
      <w:r w:rsidR="00FF39C4" w:rsidRPr="00046898">
        <w:t>162</w:t>
      </w:r>
      <w:r w:rsidR="00E25648" w:rsidRPr="00046898">
        <w:t xml:space="preserve"> kn. </w:t>
      </w:r>
      <w:r w:rsidR="00FF39C4" w:rsidRPr="00046898">
        <w:t xml:space="preserve">Najvećim dijelom odnosi se </w:t>
      </w:r>
      <w:r w:rsidR="00B60039" w:rsidRPr="00046898">
        <w:t>na opremu za provedbu projekta Cjelovite kurikularne reforme. Oprema je evidentirana u poslovnim knjigama Ministarstva, a škola istu vodi u svojim izvanbilančnim evidencijama.</w:t>
      </w:r>
      <w:r w:rsidR="00E25648" w:rsidRPr="00046898">
        <w:t xml:space="preserve"> Iznos od 1.</w:t>
      </w:r>
      <w:r w:rsidR="00FF39C4" w:rsidRPr="00046898">
        <w:t>165</w:t>
      </w:r>
      <w:r w:rsidR="00E25648" w:rsidRPr="00046898">
        <w:t>.</w:t>
      </w:r>
      <w:r w:rsidR="00FF39C4" w:rsidRPr="00046898">
        <w:t>656</w:t>
      </w:r>
      <w:r w:rsidR="00E25648" w:rsidRPr="00046898">
        <w:t xml:space="preserve"> kn </w:t>
      </w:r>
      <w:r w:rsidR="00B2054C" w:rsidRPr="00046898">
        <w:t xml:space="preserve">odnosi se na JPVP Grada Osijeka i u okviru istoga je iskazana vrijednost tuđe imovine na korištenju. </w:t>
      </w:r>
    </w:p>
    <w:p w14:paraId="2339C3B1" w14:textId="77777777" w:rsidR="00B60039" w:rsidRPr="00046898" w:rsidRDefault="00FF39C4" w:rsidP="000D6AFC">
      <w:pPr>
        <w:ind w:firstLine="708"/>
        <w:jc w:val="both"/>
      </w:pPr>
      <w:r w:rsidRPr="00046898">
        <w:t>Od korisnika potencijalne obveze temeljem sudskih sporova evidentirali su Dječje kazalište Branka Mihaljevića u Osijeku u iznosu 40.000 kn i OŠ Vladimira Becića 8.000 kn.</w:t>
      </w:r>
    </w:p>
    <w:p w14:paraId="7A15108C" w14:textId="77777777" w:rsidR="00046898" w:rsidRPr="00046898" w:rsidRDefault="00046898" w:rsidP="00046898">
      <w:pPr>
        <w:jc w:val="both"/>
        <w:rPr>
          <w:rFonts w:ascii="Cambria" w:hAnsi="Cambria"/>
        </w:rPr>
      </w:pPr>
      <w:r w:rsidRPr="00046898">
        <w:t>OŠ Višnjevac ima</w:t>
      </w:r>
      <w:r w:rsidRPr="00046898">
        <w:rPr>
          <w:rFonts w:ascii="Cambria" w:hAnsi="Cambria"/>
        </w:rPr>
        <w:t xml:space="preserve"> evidentirane dvije zadužnice po 100.000 kn, dane kao osiguranje podmirivanja budućih obveza Jadranskom osiguranju prilikom kupnje kombi vozila  te zadužnica u iznosu 90.000 kn kod izdavanja nove Visa business kartice za potrebe ERASMUS projekta.</w:t>
      </w:r>
    </w:p>
    <w:p w14:paraId="1528D45B" w14:textId="77777777" w:rsidR="00046898" w:rsidRPr="007A6745" w:rsidRDefault="00046898" w:rsidP="00046898">
      <w:pPr>
        <w:rPr>
          <w:rFonts w:ascii="Cambria" w:hAnsi="Cambria"/>
        </w:rPr>
      </w:pPr>
    </w:p>
    <w:tbl>
      <w:tblPr>
        <w:tblW w:w="9464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08"/>
        <w:gridCol w:w="1327"/>
        <w:gridCol w:w="1276"/>
        <w:gridCol w:w="1843"/>
        <w:gridCol w:w="992"/>
      </w:tblGrid>
      <w:tr w:rsidR="00046898" w:rsidRPr="001B4FDF" w14:paraId="4B6B3C70" w14:textId="77777777" w:rsidTr="00D97366">
        <w:tc>
          <w:tcPr>
            <w:tcW w:w="959" w:type="dxa"/>
            <w:tcBorders>
              <w:bottom w:val="single" w:sz="6" w:space="0" w:color="008000"/>
            </w:tcBorders>
            <w:shd w:val="clear" w:color="auto" w:fill="auto"/>
          </w:tcPr>
          <w:p w14:paraId="5A676686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DATUM IZDAVANJA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  <w:shd w:val="clear" w:color="auto" w:fill="auto"/>
          </w:tcPr>
          <w:p w14:paraId="4BD4F6C0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INSTRUMENT</w:t>
            </w:r>
          </w:p>
          <w:p w14:paraId="440AF5F2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OSIGURANJA</w:t>
            </w:r>
          </w:p>
        </w:tc>
        <w:tc>
          <w:tcPr>
            <w:tcW w:w="1508" w:type="dxa"/>
            <w:tcBorders>
              <w:bottom w:val="single" w:sz="6" w:space="0" w:color="008000"/>
            </w:tcBorders>
            <w:shd w:val="clear" w:color="auto" w:fill="auto"/>
          </w:tcPr>
          <w:p w14:paraId="738A28B7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IZNOS DANOG JAMSTVA</w:t>
            </w:r>
          </w:p>
        </w:tc>
        <w:tc>
          <w:tcPr>
            <w:tcW w:w="1327" w:type="dxa"/>
            <w:tcBorders>
              <w:bottom w:val="single" w:sz="6" w:space="0" w:color="008000"/>
            </w:tcBorders>
            <w:shd w:val="clear" w:color="auto" w:fill="auto"/>
          </w:tcPr>
          <w:p w14:paraId="1648F296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PRIMATELJ JAMSTVA</w:t>
            </w:r>
          </w:p>
        </w:tc>
        <w:tc>
          <w:tcPr>
            <w:tcW w:w="1276" w:type="dxa"/>
            <w:tcBorders>
              <w:bottom w:val="single" w:sz="6" w:space="0" w:color="008000"/>
            </w:tcBorders>
            <w:shd w:val="clear" w:color="auto" w:fill="auto"/>
          </w:tcPr>
          <w:p w14:paraId="078F32F2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NAMJENA</w:t>
            </w:r>
          </w:p>
        </w:tc>
        <w:tc>
          <w:tcPr>
            <w:tcW w:w="1843" w:type="dxa"/>
            <w:tcBorders>
              <w:bottom w:val="single" w:sz="6" w:space="0" w:color="008000"/>
            </w:tcBorders>
            <w:shd w:val="clear" w:color="auto" w:fill="auto"/>
          </w:tcPr>
          <w:p w14:paraId="1BA22836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DOKUMENT</w:t>
            </w:r>
          </w:p>
        </w:tc>
        <w:tc>
          <w:tcPr>
            <w:tcW w:w="992" w:type="dxa"/>
            <w:tcBorders>
              <w:bottom w:val="single" w:sz="6" w:space="0" w:color="008000"/>
            </w:tcBorders>
            <w:shd w:val="clear" w:color="auto" w:fill="auto"/>
          </w:tcPr>
          <w:p w14:paraId="36ED5F3B" w14:textId="77777777" w:rsidR="00046898" w:rsidRPr="001B4FDF" w:rsidRDefault="00046898" w:rsidP="00D9736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ROK VAŽENJA</w:t>
            </w:r>
          </w:p>
        </w:tc>
      </w:tr>
      <w:tr w:rsidR="00046898" w:rsidRPr="001B4FDF" w14:paraId="6CC2120F" w14:textId="77777777" w:rsidTr="00D97366">
        <w:tc>
          <w:tcPr>
            <w:tcW w:w="959" w:type="dxa"/>
            <w:shd w:val="clear" w:color="auto" w:fill="auto"/>
          </w:tcPr>
          <w:p w14:paraId="6BFA8501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04CD5BEC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554C1738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632398CE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</w:tc>
        <w:tc>
          <w:tcPr>
            <w:tcW w:w="1327" w:type="dxa"/>
            <w:shd w:val="clear" w:color="auto" w:fill="auto"/>
          </w:tcPr>
          <w:p w14:paraId="67AA1264" w14:textId="77777777" w:rsidR="00046898" w:rsidRPr="001B4FDF" w:rsidRDefault="00046898" w:rsidP="00D97366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02907454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7ACB6080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67421239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046898" w:rsidRPr="001B4FDF" w14:paraId="4F79FC66" w14:textId="77777777" w:rsidTr="00D97366">
        <w:tc>
          <w:tcPr>
            <w:tcW w:w="959" w:type="dxa"/>
            <w:shd w:val="clear" w:color="auto" w:fill="auto"/>
          </w:tcPr>
          <w:p w14:paraId="6C3BC53A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4C0A44F8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4104C485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6EF407C4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  <w:p w14:paraId="22DAE829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</w:p>
          <w:p w14:paraId="43092D68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</w:p>
          <w:p w14:paraId="521FD7AE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A21371" w14:textId="77777777" w:rsidR="00046898" w:rsidRPr="001B4FDF" w:rsidRDefault="00046898" w:rsidP="00D97366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26D098BD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2B805777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75A82AAC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046898" w:rsidRPr="001B4FDF" w14:paraId="24FAFA72" w14:textId="77777777" w:rsidTr="00D97366">
        <w:trPr>
          <w:trHeight w:val="661"/>
        </w:trPr>
        <w:tc>
          <w:tcPr>
            <w:tcW w:w="959" w:type="dxa"/>
            <w:shd w:val="clear" w:color="auto" w:fill="auto"/>
          </w:tcPr>
          <w:p w14:paraId="15D4AEE6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  <w:r w:rsidRPr="001B4FDF">
              <w:rPr>
                <w:rFonts w:ascii="Cambria" w:hAnsi="Cambria"/>
                <w:sz w:val="18"/>
                <w:szCs w:val="18"/>
              </w:rPr>
              <w:t>.11.</w:t>
            </w:r>
          </w:p>
          <w:p w14:paraId="1B4658DE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2020.</w:t>
            </w:r>
          </w:p>
        </w:tc>
        <w:tc>
          <w:tcPr>
            <w:tcW w:w="1559" w:type="dxa"/>
            <w:shd w:val="clear" w:color="auto" w:fill="auto"/>
          </w:tcPr>
          <w:p w14:paraId="74CBEFAC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4EB68E12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90.000 kn</w:t>
            </w:r>
          </w:p>
        </w:tc>
        <w:tc>
          <w:tcPr>
            <w:tcW w:w="1327" w:type="dxa"/>
            <w:shd w:val="clear" w:color="auto" w:fill="auto"/>
          </w:tcPr>
          <w:p w14:paraId="4C753AA8" w14:textId="77777777" w:rsidR="00046898" w:rsidRPr="001B4FDF" w:rsidRDefault="00046898" w:rsidP="00D97366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ADDIKO BANKA</w:t>
            </w:r>
          </w:p>
        </w:tc>
        <w:tc>
          <w:tcPr>
            <w:tcW w:w="1276" w:type="dxa"/>
            <w:shd w:val="clear" w:color="auto" w:fill="auto"/>
          </w:tcPr>
          <w:p w14:paraId="48580B02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74AB2C9B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 xml:space="preserve">UGOVOR </w:t>
            </w:r>
            <w:r>
              <w:rPr>
                <w:rFonts w:ascii="Cambria" w:hAnsi="Cambria"/>
                <w:sz w:val="18"/>
                <w:szCs w:val="18"/>
              </w:rPr>
              <w:t>O IZDAVANJU VISA BUSINESS KARTICE</w:t>
            </w:r>
          </w:p>
        </w:tc>
        <w:tc>
          <w:tcPr>
            <w:tcW w:w="992" w:type="dxa"/>
            <w:shd w:val="clear" w:color="auto" w:fill="auto"/>
          </w:tcPr>
          <w:p w14:paraId="65DB3130" w14:textId="77777777" w:rsidR="00046898" w:rsidRPr="001B4FDF" w:rsidRDefault="00046898" w:rsidP="00D9736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B66B27E" w14:textId="77777777" w:rsidR="00FF39C4" w:rsidRPr="009D293A" w:rsidRDefault="00FF39C4" w:rsidP="000D6AFC">
      <w:pPr>
        <w:ind w:firstLine="708"/>
        <w:jc w:val="both"/>
        <w:rPr>
          <w:color w:val="FF0000"/>
        </w:rPr>
      </w:pPr>
    </w:p>
    <w:p w14:paraId="3DDA65C3" w14:textId="77777777" w:rsidR="00E25648" w:rsidRPr="009D293A" w:rsidRDefault="00E25648">
      <w:pPr>
        <w:spacing w:after="200" w:line="276" w:lineRule="auto"/>
        <w:rPr>
          <w:color w:val="FF0000"/>
        </w:rPr>
      </w:pPr>
      <w:r w:rsidRPr="009D293A">
        <w:rPr>
          <w:color w:val="FF0000"/>
        </w:rPr>
        <w:br w:type="page"/>
      </w:r>
    </w:p>
    <w:p w14:paraId="7E7EC972" w14:textId="77777777" w:rsidR="00B46B25" w:rsidRPr="007865E8" w:rsidRDefault="00B46B25" w:rsidP="00B46B25">
      <w:pPr>
        <w:jc w:val="center"/>
        <w:rPr>
          <w:b/>
        </w:rPr>
      </w:pPr>
      <w:r w:rsidRPr="007865E8">
        <w:rPr>
          <w:b/>
        </w:rPr>
        <w:lastRenderedPageBreak/>
        <w:t>BILJEŠKE UZ IZVJEŠTAJ O OBVEZAMA GRADA OSIJEKA</w:t>
      </w:r>
    </w:p>
    <w:p w14:paraId="610311EC" w14:textId="77777777" w:rsidR="00B46B25" w:rsidRPr="00DF0295" w:rsidRDefault="00B46B25" w:rsidP="00B46B25">
      <w:pPr>
        <w:jc w:val="center"/>
        <w:rPr>
          <w:b/>
          <w:highlight w:val="yellow"/>
        </w:rPr>
      </w:pPr>
    </w:p>
    <w:p w14:paraId="4DD38026" w14:textId="77777777" w:rsidR="00B46B25" w:rsidRPr="00DF0295" w:rsidRDefault="00B46B25" w:rsidP="00B46B25">
      <w:pPr>
        <w:jc w:val="center"/>
        <w:rPr>
          <w:b/>
          <w:highlight w:val="yellow"/>
        </w:rPr>
      </w:pPr>
    </w:p>
    <w:p w14:paraId="45E7FD7B" w14:textId="77777777" w:rsidR="008C3ACC" w:rsidRDefault="008C3ACC" w:rsidP="002F150C">
      <w:pPr>
        <w:ind w:firstLine="708"/>
        <w:jc w:val="both"/>
      </w:pPr>
      <w:r>
        <w:t xml:space="preserve">Obveze konsolidiranog proračuna Grada Osijeka </w:t>
      </w:r>
      <w:r w:rsidR="00B46B25">
        <w:t>na</w:t>
      </w:r>
      <w:r>
        <w:t xml:space="preserve"> dan</w:t>
      </w:r>
      <w:r w:rsidR="00B46B25">
        <w:t xml:space="preserve"> 31.12.201</w:t>
      </w:r>
      <w:r>
        <w:t>9</w:t>
      </w:r>
      <w:r w:rsidR="00B46B25">
        <w:t>. iznosil</w:t>
      </w:r>
      <w:r>
        <w:t>e</w:t>
      </w:r>
      <w:r w:rsidR="00B46B25">
        <w:t xml:space="preserve"> </w:t>
      </w:r>
      <w:r>
        <w:t>su</w:t>
      </w:r>
      <w:r w:rsidR="00B46B25">
        <w:t xml:space="preserve"> 1</w:t>
      </w:r>
      <w:r>
        <w:t>85</w:t>
      </w:r>
      <w:r w:rsidR="00B46B25">
        <w:t>.</w:t>
      </w:r>
      <w:r>
        <w:t>877</w:t>
      </w:r>
      <w:r w:rsidR="00B46B25">
        <w:t>.</w:t>
      </w:r>
      <w:r>
        <w:t>587</w:t>
      </w:r>
      <w:r w:rsidR="00B46B25">
        <w:t xml:space="preserve"> kn. </w:t>
      </w:r>
      <w:r>
        <w:t>Na dan 31.12.2020. iste su veće za 35.692.547 kn i iznose 221.570.134 kn.</w:t>
      </w:r>
    </w:p>
    <w:p w14:paraId="6FF4430E" w14:textId="77777777" w:rsidR="00B46B25" w:rsidRPr="007865E8" w:rsidRDefault="008C3ACC" w:rsidP="00B46B25">
      <w:pPr>
        <w:ind w:firstLine="708"/>
        <w:jc w:val="both"/>
      </w:pPr>
      <w:r>
        <w:t>Od navedenog iznosa obveze</w:t>
      </w:r>
      <w:r w:rsidR="00B46B25">
        <w:t xml:space="preserve"> Grad</w:t>
      </w:r>
      <w:r>
        <w:t>a</w:t>
      </w:r>
      <w:r w:rsidR="00B46B25">
        <w:t xml:space="preserve"> Osijek</w:t>
      </w:r>
      <w:r>
        <w:t xml:space="preserve">a su </w:t>
      </w:r>
      <w:r w:rsidR="00B46B25">
        <w:t xml:space="preserve"> </w:t>
      </w:r>
      <w:r>
        <w:t>197</w:t>
      </w:r>
      <w:r w:rsidR="00B46B25">
        <w:t>.</w:t>
      </w:r>
      <w:r>
        <w:t>586</w:t>
      </w:r>
      <w:r w:rsidR="00B46B25">
        <w:t>.</w:t>
      </w:r>
      <w:r>
        <w:t>165</w:t>
      </w:r>
      <w:r w:rsidR="00B46B25">
        <w:t xml:space="preserve"> kn</w:t>
      </w:r>
      <w:r>
        <w:t xml:space="preserve"> a proračunskih korisnika Grada 23.983.969 kn</w:t>
      </w:r>
      <w:r w:rsidR="00B46B25">
        <w:t>.</w:t>
      </w:r>
    </w:p>
    <w:p w14:paraId="08BD5518" w14:textId="77777777" w:rsidR="008C3ACC" w:rsidRDefault="008C3ACC" w:rsidP="008C3ACC">
      <w:pPr>
        <w:ind w:firstLine="708"/>
        <w:jc w:val="both"/>
        <w:rPr>
          <w:b/>
        </w:rPr>
      </w:pPr>
    </w:p>
    <w:p w14:paraId="62762780" w14:textId="77777777" w:rsidR="008C3ACC" w:rsidRPr="00ED10ED" w:rsidRDefault="002F150C" w:rsidP="002F150C">
      <w:pPr>
        <w:jc w:val="both"/>
      </w:pPr>
      <w:r>
        <w:rPr>
          <w:b/>
        </w:rPr>
        <w:t xml:space="preserve">AOP 037 </w:t>
      </w:r>
      <w:r>
        <w:rPr>
          <w:b/>
        </w:rPr>
        <w:tab/>
      </w:r>
      <w:r w:rsidR="008C3ACC" w:rsidRPr="00ED10ED">
        <w:t>Grad Osijek nema dospjelih neplaćenih obveza na dan 31.12.2020.</w:t>
      </w:r>
      <w:r w:rsidR="008C3ACC">
        <w:t xml:space="preserve"> dok su dospjele neplaćene obveze proračunskih korisnika 1.152.008 kn. Najvećim dijelom odnose se na obveze za materijalne rashode. Od proračunskih korisnika najznačajniji iznos neplaćenih obveza iskazalo j</w:t>
      </w:r>
      <w:r w:rsidR="000430E2">
        <w:t>e Hrvatsko narodno kazalište u O</w:t>
      </w:r>
      <w:r w:rsidR="008C3ACC">
        <w:t>sijeku u iznosu 544.555 kn.</w:t>
      </w:r>
    </w:p>
    <w:p w14:paraId="69D632AA" w14:textId="77777777" w:rsidR="00B46B25" w:rsidRDefault="00B46B25" w:rsidP="00B46B25">
      <w:pPr>
        <w:ind w:firstLine="708"/>
        <w:jc w:val="both"/>
        <w:rPr>
          <w:highlight w:val="yellow"/>
        </w:rPr>
      </w:pPr>
    </w:p>
    <w:p w14:paraId="59628371" w14:textId="77777777" w:rsidR="003937D9" w:rsidRDefault="000430E2" w:rsidP="002F150C">
      <w:pPr>
        <w:jc w:val="both"/>
      </w:pPr>
      <w:r w:rsidRPr="00E064EF">
        <w:rPr>
          <w:b/>
        </w:rPr>
        <w:t>AOP 090</w:t>
      </w:r>
      <w:r w:rsidR="002F150C">
        <w:t xml:space="preserve"> </w:t>
      </w:r>
      <w:r w:rsidR="002F150C">
        <w:tab/>
      </w:r>
      <w:r w:rsidRPr="00E064EF">
        <w:t xml:space="preserve">Stanje nedospjelih obveza na dan 31.12.2020. iznosi </w:t>
      </w:r>
      <w:r>
        <w:t xml:space="preserve">220.418.127 kn od čega su obveze Grada Osijeka </w:t>
      </w:r>
      <w:r w:rsidRPr="00E064EF">
        <w:t>197.586.165 kn</w:t>
      </w:r>
      <w:r>
        <w:t xml:space="preserve"> a obveze proračunskih korisnika</w:t>
      </w:r>
      <w:r w:rsidR="003937D9">
        <w:t xml:space="preserve"> 22.831.962 kn</w:t>
      </w:r>
    </w:p>
    <w:p w14:paraId="33595E2B" w14:textId="77777777" w:rsidR="000430E2" w:rsidRPr="00E064EF" w:rsidRDefault="003937D9" w:rsidP="002F150C">
      <w:pPr>
        <w:jc w:val="both"/>
      </w:pPr>
      <w:r>
        <w:t>Kod proračunskih korisnika glavnina obveza su obveze za plaću i režijske troškove za prosinac 2020. Među</w:t>
      </w:r>
      <w:r w:rsidR="00D0361F">
        <w:t xml:space="preserve">sobne obveze </w:t>
      </w:r>
      <w:r>
        <w:t>proračunsk</w:t>
      </w:r>
      <w:r w:rsidR="00D0361F">
        <w:t>ih</w:t>
      </w:r>
      <w:r>
        <w:t xml:space="preserve"> </w:t>
      </w:r>
      <w:r w:rsidR="00D0361F">
        <w:t>korisnika kod</w:t>
      </w:r>
      <w:r>
        <w:t xml:space="preserve"> Grada Osijeka vezane su za naplaćene prihode</w:t>
      </w:r>
      <w:r w:rsidR="00D0361F">
        <w:t xml:space="preserve"> Hrvatskih voda (vodna naknada), prihode</w:t>
      </w:r>
      <w:r>
        <w:t xml:space="preserve"> od prodaje stanova na obročnu otplatu (razlika</w:t>
      </w:r>
      <w:r w:rsidR="00B6488E">
        <w:t xml:space="preserve"> za prosinac</w:t>
      </w:r>
      <w:r>
        <w:t xml:space="preserve"> obveze prema RH za pripadajući dio</w:t>
      </w:r>
      <w:r w:rsidR="00B6488E">
        <w:t xml:space="preserve"> prihoda ) u iznosu 28.435 kn, obvezu prema JPVP Grada Osijeka za naplaćene prihode proračunskog korisnika 58.250 kn i obveze prema Državnom proračunu za manje utrošena sredstva po projektu Medni dan 27 kn.</w:t>
      </w:r>
      <w:r>
        <w:t xml:space="preserve"> </w:t>
      </w:r>
      <w:r w:rsidR="00B6488E">
        <w:t>Međuproračunske obveze proračunskih korisnika u pravilu se odnose na obvezu između škola za stručne ispite, natjecanja i dr.</w:t>
      </w:r>
      <w:r>
        <w:t xml:space="preserve"> </w:t>
      </w:r>
    </w:p>
    <w:p w14:paraId="067E627A" w14:textId="77777777" w:rsidR="000430E2" w:rsidRDefault="000430E2" w:rsidP="00B46B25">
      <w:pPr>
        <w:ind w:firstLine="708"/>
        <w:jc w:val="both"/>
        <w:rPr>
          <w:highlight w:val="yellow"/>
        </w:rPr>
      </w:pPr>
    </w:p>
    <w:p w14:paraId="3994A768" w14:textId="77777777" w:rsidR="000430E2" w:rsidRDefault="000430E2" w:rsidP="000430E2">
      <w:pPr>
        <w:ind w:firstLine="708"/>
        <w:jc w:val="both"/>
      </w:pPr>
      <w:r>
        <w:t>Najznačajnije p</w:t>
      </w:r>
      <w:r w:rsidR="00B46B25">
        <w:t xml:space="preserve">ovećanje obveza </w:t>
      </w:r>
      <w:r>
        <w:t xml:space="preserve">vezano je </w:t>
      </w:r>
      <w:r w:rsidR="00B46B25">
        <w:t>za tuzemne kredite i zajmove</w:t>
      </w:r>
      <w:r>
        <w:t xml:space="preserve">. Kreditne obveze uredno su izvršavane tijekom 2020. </w:t>
      </w:r>
      <w:r w:rsidRPr="00C647B5">
        <w:t>Iskazane obveze</w:t>
      </w:r>
      <w:r>
        <w:t xml:space="preserve"> na dan 31.12.2020.</w:t>
      </w:r>
      <w:r w:rsidRPr="00C647B5">
        <w:t xml:space="preserve"> odnose se na  nedospjele glavnice po primljenim kredit</w:t>
      </w:r>
      <w:r>
        <w:t>ima za financiranje investicija u iznosu 155.891.533 kn, sredstava beskamatnog zajma Ministarstva financija za povrat u 2021. u iznosu 8.583.907 kn i 88.625 kn obveza po financijskom leasingu za</w:t>
      </w:r>
      <w:r w:rsidR="00FF39C4">
        <w:t xml:space="preserve"> </w:t>
      </w:r>
      <w:r>
        <w:t>kombi vozil</w:t>
      </w:r>
      <w:r w:rsidR="00FF39C4">
        <w:t>o</w:t>
      </w:r>
      <w:r>
        <w:t xml:space="preserve"> OŠ Višnjevac.</w:t>
      </w:r>
    </w:p>
    <w:p w14:paraId="16E70664" w14:textId="77777777" w:rsidR="008C3ACC" w:rsidRPr="00A2429E" w:rsidRDefault="00B46B25" w:rsidP="008C3ACC">
      <w:pPr>
        <w:jc w:val="both"/>
        <w:rPr>
          <w:highlight w:val="yellow"/>
        </w:rPr>
      </w:pPr>
      <w:r>
        <w:br w:type="page"/>
      </w:r>
    </w:p>
    <w:p w14:paraId="37ECFA5A" w14:textId="77777777" w:rsidR="00B46B25" w:rsidRPr="00B46B25" w:rsidRDefault="00B46B25" w:rsidP="00B46B25">
      <w:pPr>
        <w:jc w:val="center"/>
        <w:rPr>
          <w:b/>
        </w:rPr>
      </w:pPr>
      <w:r w:rsidRPr="00B46B25">
        <w:rPr>
          <w:b/>
        </w:rPr>
        <w:lastRenderedPageBreak/>
        <w:t>BILJEŠKE UZ IZVJEŠTAJ O PROMJENAMA U VRIJEDNOSTI I OBUJMU</w:t>
      </w:r>
    </w:p>
    <w:p w14:paraId="194D283D" w14:textId="77777777" w:rsidR="00B46B25" w:rsidRPr="00B46B25" w:rsidRDefault="00B46B25" w:rsidP="00B46B25">
      <w:pPr>
        <w:jc w:val="center"/>
        <w:rPr>
          <w:b/>
        </w:rPr>
      </w:pPr>
      <w:r w:rsidRPr="00B46B25">
        <w:rPr>
          <w:b/>
        </w:rPr>
        <w:t xml:space="preserve"> IMOVINE I OBVEZA</w:t>
      </w:r>
    </w:p>
    <w:p w14:paraId="400D61F6" w14:textId="77777777" w:rsidR="00B46B25" w:rsidRPr="00DF0295" w:rsidRDefault="00B46B25" w:rsidP="00B46B25">
      <w:pPr>
        <w:rPr>
          <w:highlight w:val="yellow"/>
        </w:rPr>
      </w:pPr>
    </w:p>
    <w:p w14:paraId="5C73DDE0" w14:textId="77777777" w:rsidR="005003EC" w:rsidRDefault="005003EC" w:rsidP="005003EC">
      <w:pPr>
        <w:jc w:val="both"/>
      </w:pPr>
    </w:p>
    <w:p w14:paraId="6413CD77" w14:textId="77777777" w:rsidR="005003EC" w:rsidRDefault="005003EC" w:rsidP="005003EC">
      <w:pPr>
        <w:jc w:val="both"/>
      </w:pPr>
      <w:r w:rsidRPr="00DD2327">
        <w:t>Iskazana stanja u obrascu P-VRIO</w:t>
      </w:r>
      <w:r>
        <w:t xml:space="preserve"> na dan 31.12.2020.  rezultat su sljedećih transakcija:</w:t>
      </w:r>
    </w:p>
    <w:p w14:paraId="66BE2811" w14:textId="77777777" w:rsidR="005003EC" w:rsidRDefault="005003EC" w:rsidP="005003EC">
      <w:pPr>
        <w:jc w:val="both"/>
      </w:pPr>
    </w:p>
    <w:p w14:paraId="28140C36" w14:textId="77777777" w:rsidR="00CC719B" w:rsidRDefault="00CD5730" w:rsidP="005003EC">
      <w:pPr>
        <w:ind w:left="1410" w:hanging="1410"/>
        <w:jc w:val="both"/>
      </w:pPr>
      <w:r>
        <w:rPr>
          <w:b/>
        </w:rPr>
        <w:t>AOP 004</w:t>
      </w:r>
      <w:r w:rsidR="005003EC">
        <w:tab/>
      </w:r>
      <w:r w:rsidR="00D758D6">
        <w:t>P</w:t>
      </w:r>
      <w:r w:rsidR="005003EC">
        <w:t>ovećanje</w:t>
      </w:r>
      <w:r w:rsidR="00D758D6">
        <w:t xml:space="preserve"> koje se odnosi na Grad Osijek</w:t>
      </w:r>
      <w:r w:rsidR="005003EC">
        <w:t xml:space="preserve"> </w:t>
      </w:r>
      <w:r w:rsidR="00D758D6">
        <w:t>vezano je za</w:t>
      </w:r>
    </w:p>
    <w:p w14:paraId="24254D02" w14:textId="77777777" w:rsidR="005003EC" w:rsidRDefault="005003EC" w:rsidP="00CC719B">
      <w:pPr>
        <w:ind w:left="1410"/>
        <w:jc w:val="both"/>
      </w:pPr>
      <w:r>
        <w:t xml:space="preserve"> razliku između iskazane vrijednosti zemljišta u Bilanci Grada Osijeka i cijene postignute putem javnog natječaja.</w:t>
      </w:r>
    </w:p>
    <w:p w14:paraId="460813F4" w14:textId="77777777" w:rsidR="00CC719B" w:rsidRDefault="00CC719B" w:rsidP="00CC719B">
      <w:pPr>
        <w:ind w:left="1410"/>
        <w:jc w:val="both"/>
      </w:pPr>
      <w:r>
        <w:t>OŠ Jagode Truhelke u poslovne knjige uknjižila je procijenjenu vrijednost stambenog objekta u vlasništvu u iznosu 146.000 kn dok je Hrvatsko narodno kazalište iskazalo povećanje vrijednosti imovine u iznosu 519.399 kn.</w:t>
      </w:r>
    </w:p>
    <w:p w14:paraId="3EF24365" w14:textId="77777777" w:rsidR="007A047C" w:rsidRDefault="007A047C" w:rsidP="00CC719B">
      <w:pPr>
        <w:ind w:left="1410"/>
        <w:jc w:val="both"/>
      </w:pPr>
    </w:p>
    <w:p w14:paraId="6F1045AB" w14:textId="77777777" w:rsidR="00CC719B" w:rsidRDefault="00CC719B" w:rsidP="00CC719B">
      <w:pPr>
        <w:ind w:left="1410" w:hanging="1410"/>
        <w:jc w:val="both"/>
      </w:pPr>
      <w:r w:rsidRPr="00CC719B">
        <w:rPr>
          <w:b/>
        </w:rPr>
        <w:t>AOP 00</w:t>
      </w:r>
      <w:r w:rsidR="00CD5730">
        <w:rPr>
          <w:b/>
        </w:rPr>
        <w:t>5</w:t>
      </w:r>
      <w:r>
        <w:rPr>
          <w:b/>
        </w:rPr>
        <w:tab/>
      </w:r>
      <w:r w:rsidRPr="00CC719B">
        <w:t xml:space="preserve">Smanjenje u okviru ovoga AOP-A vezano je </w:t>
      </w:r>
      <w:r w:rsidR="007A047C">
        <w:t>za proračunske</w:t>
      </w:r>
      <w:r w:rsidRPr="00CC719B">
        <w:t xml:space="preserve"> korisnik</w:t>
      </w:r>
      <w:r w:rsidR="007A047C">
        <w:t>e</w:t>
      </w:r>
      <w:r w:rsidRPr="00CC719B">
        <w:t xml:space="preserve"> Dječje kazalište Branka Mihaljevića u Osijeku</w:t>
      </w:r>
      <w:r w:rsidR="007A047C">
        <w:t xml:space="preserve"> u iznosu</w:t>
      </w:r>
      <w:r w:rsidRPr="00CC719B">
        <w:t xml:space="preserve"> 1.418 kn</w:t>
      </w:r>
      <w:r>
        <w:t xml:space="preserve"> </w:t>
      </w:r>
      <w:r w:rsidRPr="00CC719B">
        <w:t>i</w:t>
      </w:r>
      <w:r>
        <w:t xml:space="preserve"> OŠ Dobriša Cesarić 2.119 kn</w:t>
      </w:r>
      <w:r w:rsidR="007A047C">
        <w:t xml:space="preserve"> zbog rashodovanja imovine odnosno knjiga koje imaju neotpisanu knjigovodstvenu vrijednost</w:t>
      </w:r>
      <w:r>
        <w:t>.</w:t>
      </w:r>
      <w:r w:rsidRPr="00CC719B">
        <w:t xml:space="preserve"> </w:t>
      </w:r>
    </w:p>
    <w:p w14:paraId="5E4D9200" w14:textId="77777777" w:rsidR="00CD5730" w:rsidRDefault="00CD5730" w:rsidP="00CC719B">
      <w:pPr>
        <w:ind w:left="1410" w:hanging="1410"/>
        <w:jc w:val="both"/>
      </w:pPr>
    </w:p>
    <w:p w14:paraId="60E704F5" w14:textId="77777777" w:rsidR="00CD5730" w:rsidRDefault="00CD5730" w:rsidP="00CC719B">
      <w:pPr>
        <w:ind w:left="1410" w:hanging="1410"/>
        <w:jc w:val="both"/>
      </w:pPr>
      <w:r w:rsidRPr="00CD5730">
        <w:rPr>
          <w:b/>
        </w:rPr>
        <w:t>AOP 007</w:t>
      </w:r>
      <w:r w:rsidRPr="00CD5730">
        <w:rPr>
          <w:b/>
        </w:rPr>
        <w:tab/>
      </w:r>
      <w:r w:rsidRPr="00CD5730">
        <w:t xml:space="preserve">U okviru ovoga AOP-a iskazano je </w:t>
      </w:r>
      <w:r w:rsidR="00B66489">
        <w:t xml:space="preserve">evidentiranje </w:t>
      </w:r>
      <w:r w:rsidRPr="00CD5730">
        <w:t>povećanj</w:t>
      </w:r>
      <w:r w:rsidR="00B66489">
        <w:t>a</w:t>
      </w:r>
      <w:r>
        <w:t xml:space="preserve"> vrijednosti</w:t>
      </w:r>
      <w:r w:rsidRPr="00CD5730">
        <w:t xml:space="preserve"> sitnog inventara kod proračunskog korisnika HNK u Osijeku</w:t>
      </w:r>
    </w:p>
    <w:p w14:paraId="19B6079E" w14:textId="77777777" w:rsidR="00CD5730" w:rsidRDefault="00CD5730" w:rsidP="00CC719B">
      <w:pPr>
        <w:ind w:left="1410" w:hanging="1410"/>
        <w:jc w:val="both"/>
      </w:pPr>
    </w:p>
    <w:p w14:paraId="774EFF5A" w14:textId="77777777" w:rsidR="005003EC" w:rsidRDefault="005003EC" w:rsidP="005003EC">
      <w:pPr>
        <w:ind w:left="1418" w:hanging="1418"/>
        <w:jc w:val="both"/>
      </w:pPr>
      <w:r w:rsidRPr="00F75333">
        <w:rPr>
          <w:b/>
        </w:rPr>
        <w:t>AOP 013</w:t>
      </w:r>
      <w:r>
        <w:tab/>
        <w:t>Iznos od 168 kn odnosi se na tečajne razlike za kredit iz programa Žene i mladi iz   ranijih godina.</w:t>
      </w:r>
    </w:p>
    <w:p w14:paraId="2CA7206C" w14:textId="77777777" w:rsidR="005003EC" w:rsidRDefault="005003EC" w:rsidP="005003EC">
      <w:pPr>
        <w:ind w:left="1410" w:hanging="1410"/>
        <w:jc w:val="both"/>
      </w:pPr>
    </w:p>
    <w:p w14:paraId="2293AB79" w14:textId="77777777" w:rsidR="005003EC" w:rsidRDefault="005003EC" w:rsidP="005003EC">
      <w:pPr>
        <w:ind w:left="1410" w:hanging="1410"/>
        <w:jc w:val="both"/>
      </w:pPr>
      <w:r w:rsidRPr="00B15136">
        <w:rPr>
          <w:b/>
        </w:rPr>
        <w:t>AOP 0</w:t>
      </w:r>
      <w:r>
        <w:rPr>
          <w:b/>
        </w:rPr>
        <w:t xml:space="preserve">15 </w:t>
      </w:r>
      <w:r>
        <w:tab/>
        <w:t xml:space="preserve">Iskazano povećanje odnosi se na razliku između nominalne i prodajne vrijednosti dionica Karolina d.d. za prodaju izvršenu u 2020. </w:t>
      </w:r>
    </w:p>
    <w:p w14:paraId="16260B70" w14:textId="77777777" w:rsidR="005003EC" w:rsidRDefault="005003EC" w:rsidP="005003EC">
      <w:pPr>
        <w:jc w:val="both"/>
      </w:pPr>
      <w:r>
        <w:t xml:space="preserve"> </w:t>
      </w:r>
    </w:p>
    <w:p w14:paraId="4C91904B" w14:textId="77777777" w:rsidR="005003EC" w:rsidRDefault="005003EC" w:rsidP="005003EC">
      <w:pPr>
        <w:ind w:left="1410" w:hanging="1410"/>
        <w:jc w:val="both"/>
      </w:pPr>
      <w:r w:rsidRPr="00FF0EC3">
        <w:rPr>
          <w:b/>
        </w:rPr>
        <w:t xml:space="preserve">AOP 020 </w:t>
      </w:r>
      <w:r w:rsidRPr="00FF0EC3">
        <w:tab/>
      </w:r>
      <w:r>
        <w:t>Povećanje u iznosu 2.448</w:t>
      </w:r>
      <w:r w:rsidRPr="00FF0EC3">
        <w:t>.</w:t>
      </w:r>
      <w:r>
        <w:t>657</w:t>
      </w:r>
      <w:r w:rsidRPr="00FF0EC3">
        <w:t xml:space="preserve"> k</w:t>
      </w:r>
      <w:r>
        <w:t>n odnosi se na unos građevinskih</w:t>
      </w:r>
      <w:r w:rsidRPr="00FF0EC3">
        <w:t xml:space="preserve"> zemljišta </w:t>
      </w:r>
      <w:r>
        <w:t xml:space="preserve">koja su prodana u 2020. a nisu bila iskazana u </w:t>
      </w:r>
      <w:r w:rsidRPr="00FF0EC3">
        <w:t xml:space="preserve">bilanci Grada Osijeka. </w:t>
      </w:r>
    </w:p>
    <w:p w14:paraId="07596777" w14:textId="77777777" w:rsidR="007A047C" w:rsidRDefault="007A047C" w:rsidP="007A047C">
      <w:pPr>
        <w:spacing w:after="160" w:line="259" w:lineRule="auto"/>
        <w:ind w:left="1410" w:firstLine="6"/>
        <w:jc w:val="both"/>
        <w:rPr>
          <w:rFonts w:eastAsia="Calibri"/>
          <w:lang w:eastAsia="en-US"/>
        </w:rPr>
      </w:pPr>
      <w:r w:rsidRPr="007A047C">
        <w:t>Iznos od 7.</w:t>
      </w:r>
      <w:r>
        <w:t>441 kn vezan je za proračunske korisnike OŠ Vladimir Becić 5.425 kn gdje je tijekom godine evidentirano povećanje imovine u sklopu projekta Abeceda pismenosti (kamera, projektor i fotoaparat)  i OŠ Grigor Vitez u iznosu 2.016 kn</w:t>
      </w:r>
      <w:r w:rsidRPr="007A04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 vrijednost doniranih knjiga.</w:t>
      </w:r>
    </w:p>
    <w:p w14:paraId="0BE2E805" w14:textId="77777777" w:rsidR="005003EC" w:rsidRDefault="005003EC" w:rsidP="005003EC">
      <w:pPr>
        <w:jc w:val="both"/>
      </w:pPr>
    </w:p>
    <w:p w14:paraId="1AEBCC9A" w14:textId="77777777" w:rsidR="005003EC" w:rsidRDefault="005003EC" w:rsidP="005003EC">
      <w:pPr>
        <w:jc w:val="both"/>
      </w:pPr>
      <w:r w:rsidRPr="00CB6396">
        <w:rPr>
          <w:b/>
        </w:rPr>
        <w:t>AOP 021</w:t>
      </w:r>
      <w:r>
        <w:rPr>
          <w:b/>
        </w:rPr>
        <w:t xml:space="preserve"> </w:t>
      </w:r>
      <w:r>
        <w:tab/>
        <w:t>Iskazano povećanje od 1.378.759 kn rezultat je promjena</w:t>
      </w:r>
      <w:r w:rsidR="007A047C">
        <w:t xml:space="preserve"> u bilanci Grada Osijeka</w:t>
      </w:r>
      <w:r>
        <w:t>.</w:t>
      </w:r>
    </w:p>
    <w:p w14:paraId="6315000B" w14:textId="77777777" w:rsidR="005003EC" w:rsidRDefault="005003EC" w:rsidP="005003EC">
      <w:pPr>
        <w:jc w:val="both"/>
      </w:pPr>
      <w:r>
        <w:tab/>
      </w:r>
      <w:r>
        <w:tab/>
        <w:t>U evidenciju imovine izvršena su sljedeća uknjiženja:</w:t>
      </w:r>
    </w:p>
    <w:p w14:paraId="37AF8681" w14:textId="77777777" w:rsidR="005003EC" w:rsidRDefault="005003EC" w:rsidP="005003EC">
      <w:pPr>
        <w:numPr>
          <w:ilvl w:val="0"/>
          <w:numId w:val="3"/>
        </w:numPr>
        <w:jc w:val="both"/>
      </w:pPr>
      <w:r>
        <w:t>Prijenos ulaganja u sportske terene od strane OBŽ u iznosu 643.241 kn i u dječja igrališta u iznosu 345.961,48 kn</w:t>
      </w:r>
    </w:p>
    <w:p w14:paraId="63C7DAE7" w14:textId="77777777" w:rsidR="005003EC" w:rsidRDefault="005003EC" w:rsidP="005003EC">
      <w:pPr>
        <w:numPr>
          <w:ilvl w:val="0"/>
          <w:numId w:val="3"/>
        </w:numPr>
        <w:jc w:val="both"/>
      </w:pPr>
      <w:r>
        <w:t xml:space="preserve">Unos u stanove u iznosu 389.556 kn (nabavna-amortizirana vrijednost) </w:t>
      </w:r>
    </w:p>
    <w:p w14:paraId="0525BA2C" w14:textId="77777777" w:rsidR="005A6097" w:rsidRDefault="005A6097" w:rsidP="005A6097">
      <w:pPr>
        <w:ind w:left="1410"/>
        <w:jc w:val="both"/>
      </w:pPr>
      <w:r>
        <w:t>Preostalo povećanje u iznosu 483.099 kn vezano je za evidentiranje vrijednosti nabavljenog namještaja</w:t>
      </w:r>
      <w:r w:rsidR="00B66489">
        <w:t xml:space="preserve"> u 2019.</w:t>
      </w:r>
      <w:r>
        <w:t xml:space="preserve"> za DV Višnjevac u iznosu 468.738 kn kod korisnika Dječji vrtić Osijek. Preostali iznos od 14.361 kn odnosi se na osnovne škole Josipovac, Mladost i August Šenoa.</w:t>
      </w:r>
    </w:p>
    <w:p w14:paraId="1363CCD4" w14:textId="77777777" w:rsidR="005A6097" w:rsidRDefault="005A6097" w:rsidP="005A6097">
      <w:pPr>
        <w:ind w:left="1770"/>
        <w:jc w:val="both"/>
      </w:pPr>
    </w:p>
    <w:p w14:paraId="76B5A63F" w14:textId="77777777" w:rsidR="00CD5730" w:rsidRDefault="00CD5730" w:rsidP="005003EC">
      <w:pPr>
        <w:ind w:left="1410"/>
        <w:jc w:val="both"/>
      </w:pPr>
    </w:p>
    <w:p w14:paraId="31B7B8CC" w14:textId="77777777" w:rsidR="00CD5730" w:rsidRDefault="00CD5730" w:rsidP="005003EC">
      <w:pPr>
        <w:ind w:left="1410"/>
        <w:jc w:val="both"/>
      </w:pPr>
    </w:p>
    <w:p w14:paraId="703931F7" w14:textId="77777777" w:rsidR="005003EC" w:rsidRDefault="005003EC" w:rsidP="005003EC">
      <w:pPr>
        <w:ind w:left="1410"/>
        <w:jc w:val="both"/>
      </w:pPr>
      <w:r>
        <w:lastRenderedPageBreak/>
        <w:t>Istovremeno, iz evidencije imovine Grada isknjiženo je sljedeće:</w:t>
      </w:r>
    </w:p>
    <w:p w14:paraId="5D3EB1FC" w14:textId="77777777" w:rsidR="005003EC" w:rsidRDefault="005003EC" w:rsidP="005003EC">
      <w:pPr>
        <w:numPr>
          <w:ilvl w:val="0"/>
          <w:numId w:val="3"/>
        </w:numPr>
        <w:jc w:val="both"/>
      </w:pPr>
      <w:r>
        <w:t>Izvršeno je isknjiženje poslovnih prostora u iznosu 137.281 kn (nabavna-amortizirana vrijednost)</w:t>
      </w:r>
    </w:p>
    <w:p w14:paraId="493F080F" w14:textId="77777777" w:rsidR="005003EC" w:rsidRPr="00C1135E" w:rsidRDefault="00CD5730" w:rsidP="00CD5730">
      <w:pPr>
        <w:ind w:left="1410"/>
        <w:jc w:val="both"/>
      </w:pPr>
      <w:r>
        <w:t>-</w:t>
      </w:r>
      <w:r w:rsidR="005003EC">
        <w:t xml:space="preserve">Isknjiženi su i stambeni objekti vraćeni RH u procesu povrata nacionaliziranih nekretnina kao i ruševni objekti u iznosu 102.762 kn (nabavna-amortizirana </w:t>
      </w:r>
      <w:r w:rsidR="005003EC" w:rsidRPr="00C1135E">
        <w:t>vrijednost)</w:t>
      </w:r>
    </w:p>
    <w:p w14:paraId="1224F66D" w14:textId="77777777" w:rsidR="00C1135E" w:rsidRPr="00C1135E" w:rsidRDefault="00CD5730" w:rsidP="00CD5730">
      <w:pPr>
        <w:ind w:left="1410"/>
        <w:jc w:val="both"/>
      </w:pPr>
      <w:r>
        <w:t>-</w:t>
      </w:r>
      <w:r w:rsidR="005A6097" w:rsidRPr="00C1135E">
        <w:t>OŠ Višnjevac iskazala je smanjenje u okviru ovoga AOP-a u iznosu 34.829 kn</w:t>
      </w:r>
      <w:r w:rsidR="00C1135E" w:rsidRPr="00C1135E">
        <w:t>. Nakon provedene inventure utvrđeno je neslaganje dugotrajne imovine prema inventurnim listama i stanja na kontima razred 0.  Provedeno je smanjenje imovine i usklađivanje sa stvarnim stanjem imovine, te je sva dugotrajna imovina uvedena u elektronički sustav obrade.</w:t>
      </w:r>
    </w:p>
    <w:p w14:paraId="2F0E784F" w14:textId="77777777" w:rsidR="005A6097" w:rsidRDefault="00C1135E" w:rsidP="00CD5730">
      <w:pPr>
        <w:ind w:left="1410" w:firstLine="6"/>
        <w:jc w:val="both"/>
      </w:pPr>
      <w:r w:rsidRPr="00C1135E">
        <w:t xml:space="preserve">U okviru promjena u vrijednosti i obujmu imovine evidentirano je i rashodovanje </w:t>
      </w:r>
      <w:r w:rsidR="00CD5730">
        <w:t xml:space="preserve"> </w:t>
      </w:r>
      <w:r w:rsidRPr="00C1135E">
        <w:t xml:space="preserve">neispravne imovine u iznosu 4.058 kn.  </w:t>
      </w:r>
    </w:p>
    <w:p w14:paraId="592A37D4" w14:textId="77777777" w:rsidR="00C1135E" w:rsidRDefault="00C1135E" w:rsidP="00C1135E">
      <w:pPr>
        <w:ind w:left="1770"/>
        <w:jc w:val="both"/>
      </w:pPr>
    </w:p>
    <w:p w14:paraId="43ACA4A5" w14:textId="77777777" w:rsidR="00C1135E" w:rsidRPr="00C1135E" w:rsidRDefault="00FF39C4" w:rsidP="00CD5730">
      <w:pPr>
        <w:ind w:left="1276" w:hanging="1276"/>
        <w:jc w:val="both"/>
      </w:pPr>
      <w:r>
        <w:rPr>
          <w:b/>
        </w:rPr>
        <w:t>AOP 023</w:t>
      </w:r>
      <w:r>
        <w:rPr>
          <w:b/>
        </w:rPr>
        <w:tab/>
      </w:r>
      <w:r w:rsidR="00C1135E" w:rsidRPr="00C1135E">
        <w:t>Dječj</w:t>
      </w:r>
      <w:r w:rsidR="00C1135E">
        <w:t>i</w:t>
      </w:r>
      <w:r w:rsidR="00C1135E" w:rsidRPr="00C1135E">
        <w:t xml:space="preserve"> </w:t>
      </w:r>
      <w:r w:rsidR="00C1135E">
        <w:t>vrtić</w:t>
      </w:r>
      <w:r w:rsidR="00C1135E" w:rsidRPr="00C1135E">
        <w:t xml:space="preserve"> Osijek iskazao je povećanje vrijednosti</w:t>
      </w:r>
      <w:r w:rsidR="00C1135E">
        <w:t xml:space="preserve"> sitnog inventara za opremu iz 2019. godine za Dječji vrtić Višnjevac u iznosu 137.274 kn a OŠ Mladost prijenos imovine od strane MZO u sklopu programa Škola za život u vrijednosti 24.213 kn.</w:t>
      </w:r>
    </w:p>
    <w:p w14:paraId="5135259B" w14:textId="77777777" w:rsidR="005003EC" w:rsidRPr="00C1135E" w:rsidRDefault="005003EC" w:rsidP="00C1135E">
      <w:pPr>
        <w:ind w:left="1134" w:hanging="1134"/>
        <w:jc w:val="both"/>
        <w:rPr>
          <w:b/>
        </w:rPr>
      </w:pPr>
    </w:p>
    <w:p w14:paraId="7EF09913" w14:textId="77777777" w:rsidR="005003EC" w:rsidRDefault="005003EC" w:rsidP="00C1135E">
      <w:pPr>
        <w:ind w:left="1276" w:hanging="1276"/>
        <w:jc w:val="both"/>
      </w:pPr>
      <w:r w:rsidRPr="00C1135E">
        <w:rPr>
          <w:b/>
        </w:rPr>
        <w:t>AOP 032</w:t>
      </w:r>
      <w:r w:rsidR="00FF39C4">
        <w:rPr>
          <w:b/>
        </w:rPr>
        <w:tab/>
      </w:r>
      <w:r>
        <w:t>Izvršeno je isknjiženje potraživanja za prihode poslovanja temeljem zaključka gradonačelnika Grada Osijeka, a po izvršenom popisu imovine i potraživanja za 2019., u iznosu od 2.385.680 kn te zatvoreno  potraživanje za komunalni doprinos temeljem izvršenih otplata glavnice kredita za ulaganje u komunalnu infrastrukturu u iznosu od 4.917.511 kn.</w:t>
      </w:r>
    </w:p>
    <w:p w14:paraId="6F2D7213" w14:textId="77777777" w:rsidR="005003EC" w:rsidRDefault="005003EC" w:rsidP="005003EC">
      <w:pPr>
        <w:ind w:left="1276" w:hanging="1276"/>
        <w:jc w:val="both"/>
      </w:pPr>
      <w:r>
        <w:rPr>
          <w:b/>
        </w:rPr>
        <w:tab/>
      </w:r>
      <w:r w:rsidRPr="00016F37">
        <w:t>U okviru ovoga AOP</w:t>
      </w:r>
      <w:r>
        <w:rPr>
          <w:b/>
        </w:rPr>
        <w:t>-</w:t>
      </w:r>
      <w:r>
        <w:t>a iskazana su i oslobođenja od obveze plaćanja komunalne naknade za vrijeme pandemije COVID-19 u iznosu 8.344.407 kn te zakupa poslovnih prostora i javnih površina (terase, kiosci i dr.) u iznosu 1.644.749 kn</w:t>
      </w:r>
    </w:p>
    <w:p w14:paraId="3D7E2CA0" w14:textId="77777777" w:rsidR="00CD5730" w:rsidRDefault="00CD5730" w:rsidP="005003EC">
      <w:pPr>
        <w:ind w:left="1276" w:hanging="1276"/>
        <w:jc w:val="both"/>
      </w:pPr>
      <w:r>
        <w:tab/>
        <w:t>Dječje kazalište Branka Mihaljevića u Osijeku izvršilo je otpis nenaplativih potraživanja u iznosu 1.431 kn.</w:t>
      </w:r>
    </w:p>
    <w:p w14:paraId="2C82DB5B" w14:textId="77777777" w:rsidR="005003EC" w:rsidRDefault="005003EC" w:rsidP="005003EC">
      <w:pPr>
        <w:ind w:left="1276" w:hanging="1276"/>
        <w:jc w:val="both"/>
      </w:pPr>
    </w:p>
    <w:p w14:paraId="3325F4BF" w14:textId="77777777" w:rsidR="005003EC" w:rsidRDefault="005003EC" w:rsidP="005003EC">
      <w:pPr>
        <w:ind w:left="1134" w:hanging="1134"/>
        <w:jc w:val="both"/>
      </w:pPr>
    </w:p>
    <w:p w14:paraId="522B1030" w14:textId="77777777" w:rsidR="005003EC" w:rsidRDefault="005003EC" w:rsidP="005003EC">
      <w:pPr>
        <w:ind w:left="1134" w:hanging="1134"/>
        <w:jc w:val="both"/>
      </w:pPr>
      <w:r w:rsidRPr="00436E46">
        <w:rPr>
          <w:b/>
        </w:rPr>
        <w:t>AOP 039</w:t>
      </w:r>
      <w:r w:rsidR="00FF39C4">
        <w:t xml:space="preserve"> </w:t>
      </w:r>
      <w:r>
        <w:t xml:space="preserve"> </w:t>
      </w:r>
      <w:r>
        <w:tab/>
      </w:r>
      <w:r w:rsidR="00FF39C4">
        <w:t>U</w:t>
      </w:r>
      <w:r>
        <w:t xml:space="preserve"> okviru ovoga AOP-a iskazane su tečajne razlike po dugoročnim kreditima Grada Osijeka ugovorene u 2011. i 2014., s ugovorenom valutnom klauzulom. </w:t>
      </w:r>
    </w:p>
    <w:p w14:paraId="5918E23E" w14:textId="77777777" w:rsidR="005003EC" w:rsidRPr="00A21992" w:rsidRDefault="005003EC" w:rsidP="005003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AC5870" w14:textId="77777777" w:rsidR="005003EC" w:rsidRDefault="005003EC" w:rsidP="005003EC">
      <w:pPr>
        <w:jc w:val="both"/>
      </w:pPr>
    </w:p>
    <w:p w14:paraId="30C99A74" w14:textId="77777777" w:rsidR="000378FF" w:rsidRDefault="000378FF" w:rsidP="000378FF">
      <w:pPr>
        <w:ind w:left="1276" w:hanging="1276"/>
        <w:jc w:val="both"/>
      </w:pPr>
    </w:p>
    <w:p w14:paraId="41371ED8" w14:textId="77777777" w:rsidR="000378FF" w:rsidRDefault="000378FF" w:rsidP="000378FF">
      <w:pPr>
        <w:ind w:left="1134" w:hanging="1134"/>
        <w:jc w:val="both"/>
        <w:rPr>
          <w:b/>
        </w:rPr>
      </w:pPr>
    </w:p>
    <w:p w14:paraId="7AA721FA" w14:textId="77777777" w:rsidR="00B46B25" w:rsidRPr="00DF0295" w:rsidRDefault="00B46B25" w:rsidP="00B46B25">
      <w:pPr>
        <w:jc w:val="both"/>
        <w:rPr>
          <w:highlight w:val="yellow"/>
        </w:rPr>
      </w:pPr>
    </w:p>
    <w:p w14:paraId="78CF6808" w14:textId="77777777" w:rsidR="00B46B25" w:rsidRPr="00DF0295" w:rsidRDefault="00B46B25" w:rsidP="00B46B25">
      <w:pPr>
        <w:jc w:val="both"/>
        <w:rPr>
          <w:highlight w:val="yellow"/>
        </w:rPr>
      </w:pPr>
    </w:p>
    <w:p w14:paraId="47D6F09E" w14:textId="77777777" w:rsidR="002632EE" w:rsidRDefault="002632EE">
      <w:pPr>
        <w:spacing w:after="200" w:line="276" w:lineRule="auto"/>
      </w:pPr>
      <w:r>
        <w:br w:type="page"/>
      </w:r>
    </w:p>
    <w:p w14:paraId="1BD9C507" w14:textId="77777777" w:rsidR="000C2065" w:rsidRPr="00E25648" w:rsidRDefault="000C2065" w:rsidP="00D80E9F">
      <w:pPr>
        <w:jc w:val="center"/>
        <w:rPr>
          <w:b/>
        </w:rPr>
      </w:pPr>
      <w:r w:rsidRPr="00E25648">
        <w:rPr>
          <w:b/>
        </w:rPr>
        <w:lastRenderedPageBreak/>
        <w:t>BILJEŠKE UZ IZVJEŠTAJ O RASHODIMA PREMA FUNKCIJSKOJ KLASIFIKACIJI</w:t>
      </w:r>
    </w:p>
    <w:p w14:paraId="0C68590A" w14:textId="77777777" w:rsidR="000C2065" w:rsidRPr="00E25648" w:rsidRDefault="000C2065" w:rsidP="00D80E9F">
      <w:pPr>
        <w:jc w:val="center"/>
        <w:rPr>
          <w:b/>
        </w:rPr>
      </w:pPr>
    </w:p>
    <w:p w14:paraId="1A2C90A7" w14:textId="77777777" w:rsidR="000C2065" w:rsidRPr="00E25648" w:rsidRDefault="000C2065" w:rsidP="00D80E9F">
      <w:pPr>
        <w:jc w:val="center"/>
        <w:rPr>
          <w:b/>
        </w:rPr>
      </w:pPr>
    </w:p>
    <w:p w14:paraId="3AB61D1A" w14:textId="77777777" w:rsidR="00D73CE3" w:rsidRDefault="00D73CE3" w:rsidP="00D73CE3">
      <w:r w:rsidRPr="00E25648">
        <w:rPr>
          <w:b/>
        </w:rPr>
        <w:tab/>
      </w:r>
      <w:r w:rsidRPr="00E25648">
        <w:t xml:space="preserve">Rashodi po funkcijskoj klasifikaciji iznose </w:t>
      </w:r>
      <w:r w:rsidR="00E25648" w:rsidRPr="00E25648">
        <w:t>6</w:t>
      </w:r>
      <w:r w:rsidR="00AA634E">
        <w:t>70</w:t>
      </w:r>
      <w:r w:rsidRPr="00E25648">
        <w:t>.</w:t>
      </w:r>
      <w:r w:rsidR="00AA634E">
        <w:t>264</w:t>
      </w:r>
      <w:r w:rsidRPr="00E25648">
        <w:t>.</w:t>
      </w:r>
      <w:r w:rsidR="00AA634E">
        <w:t>372 kn što je za 20</w:t>
      </w:r>
      <w:r w:rsidRPr="00E25648">
        <w:t>.</w:t>
      </w:r>
      <w:r w:rsidR="00AA634E">
        <w:t>311</w:t>
      </w:r>
      <w:r w:rsidRPr="00E25648">
        <w:t>.</w:t>
      </w:r>
      <w:r w:rsidR="00AA634E">
        <w:t>523</w:t>
      </w:r>
      <w:r w:rsidRPr="00E25648">
        <w:t xml:space="preserve"> kn više u odnosu na 31.12.201</w:t>
      </w:r>
      <w:r w:rsidR="00AA634E">
        <w:t>9</w:t>
      </w:r>
      <w:r w:rsidRPr="00E25648">
        <w:t>.</w:t>
      </w:r>
      <w:r w:rsidR="00AA634E">
        <w:t xml:space="preserve"> U nastavku dajemo obrazloženje značajnijih odstupanja:</w:t>
      </w:r>
    </w:p>
    <w:p w14:paraId="77873E64" w14:textId="77777777" w:rsidR="00AA634E" w:rsidRPr="00E25648" w:rsidRDefault="00AA634E" w:rsidP="00D73CE3"/>
    <w:p w14:paraId="1A717B44" w14:textId="77777777" w:rsidR="00AA634E" w:rsidRDefault="00AA634E" w:rsidP="00AA634E">
      <w:pPr>
        <w:jc w:val="both"/>
      </w:pPr>
      <w:r w:rsidRPr="00FC5D3F">
        <w:rPr>
          <w:b/>
        </w:rPr>
        <w:t>AOP 03</w:t>
      </w:r>
      <w:r>
        <w:rPr>
          <w:b/>
        </w:rPr>
        <w:t>2</w:t>
      </w:r>
      <w:r w:rsidR="008B3906">
        <w:rPr>
          <w:b/>
        </w:rPr>
        <w:t xml:space="preserve"> </w:t>
      </w:r>
      <w:r w:rsidR="008B3906">
        <w:rPr>
          <w:b/>
        </w:rPr>
        <w:tab/>
      </w:r>
      <w:r w:rsidRPr="00D77579">
        <w:rPr>
          <w:b/>
        </w:rPr>
        <w:t>Opći ekonomski i trgovački poslovi vezani uz rad</w:t>
      </w:r>
      <w:r>
        <w:t xml:space="preserve"> veći su za 5.774.220</w:t>
      </w:r>
      <w:r w:rsidRPr="00FC5D3F">
        <w:t xml:space="preserve"> kn i </w:t>
      </w:r>
      <w:r>
        <w:t>njihov rast je vezan za isplaćene subvencije poduzetnicima za suzbijanje negativnih posljedica uzrokovanih virusom COVID-19.</w:t>
      </w:r>
    </w:p>
    <w:p w14:paraId="0E9299C7" w14:textId="77777777" w:rsidR="00E25648" w:rsidRPr="00FC5D3F" w:rsidRDefault="00E25648" w:rsidP="00E25648">
      <w:pPr>
        <w:jc w:val="both"/>
        <w:rPr>
          <w:b/>
        </w:rPr>
      </w:pPr>
    </w:p>
    <w:p w14:paraId="29221201" w14:textId="77777777" w:rsidR="00AA634E" w:rsidRDefault="008B3906" w:rsidP="00AA634E">
      <w:pPr>
        <w:jc w:val="both"/>
      </w:pPr>
      <w:r>
        <w:rPr>
          <w:b/>
        </w:rPr>
        <w:t xml:space="preserve">AOP 051 </w:t>
      </w:r>
      <w:r>
        <w:rPr>
          <w:b/>
        </w:rPr>
        <w:tab/>
      </w:r>
      <w:r w:rsidR="00AA634E" w:rsidRPr="00D77579">
        <w:rPr>
          <w:b/>
        </w:rPr>
        <w:t>Rashodi vezani uz cestovni promet</w:t>
      </w:r>
      <w:r w:rsidR="00AA634E" w:rsidRPr="00FC5D3F">
        <w:t xml:space="preserve"> </w:t>
      </w:r>
      <w:r w:rsidR="00AA634E">
        <w:t>veći su za 2.770.770 kn i realizirani su</w:t>
      </w:r>
      <w:r w:rsidR="00AA634E" w:rsidRPr="00FC5D3F">
        <w:t xml:space="preserve"> za izgradnju prometnica te održavanje nerazvrstanih cesta, mostova, pješačkih i biciklističkih površina te rekonstrukciju prometnica.</w:t>
      </w:r>
    </w:p>
    <w:p w14:paraId="1B19785F" w14:textId="77777777" w:rsidR="00E25648" w:rsidRDefault="00E25648" w:rsidP="00E25648">
      <w:pPr>
        <w:jc w:val="both"/>
      </w:pPr>
    </w:p>
    <w:p w14:paraId="3B2B9D58" w14:textId="77777777" w:rsidR="00AA634E" w:rsidRDefault="00AA634E" w:rsidP="00AA634E">
      <w:pPr>
        <w:jc w:val="both"/>
      </w:pPr>
      <w:r w:rsidRPr="00E33D5E">
        <w:rPr>
          <w:b/>
        </w:rPr>
        <w:t>AOP 072</w:t>
      </w:r>
      <w:r w:rsidR="008B3906">
        <w:t xml:space="preserve"> </w:t>
      </w:r>
      <w:r w:rsidR="008B3906">
        <w:tab/>
      </w:r>
      <w:r w:rsidRPr="00E33D5E">
        <w:rPr>
          <w:b/>
        </w:rPr>
        <w:t>Rashodi za gospodarenje otpadom</w:t>
      </w:r>
      <w:r>
        <w:t xml:space="preserve"> rastu za 29.900.062 kn i prvenstveno su vezani za završetak projekta sanacije Odlagališta Nemetin.</w:t>
      </w:r>
    </w:p>
    <w:p w14:paraId="134001BA" w14:textId="77777777" w:rsidR="00AA634E" w:rsidRDefault="00AA634E" w:rsidP="00AA634E">
      <w:pPr>
        <w:jc w:val="both"/>
      </w:pPr>
    </w:p>
    <w:p w14:paraId="198EFE5C" w14:textId="77777777" w:rsidR="00AA634E" w:rsidRDefault="00AA634E" w:rsidP="00AA634E">
      <w:pPr>
        <w:jc w:val="both"/>
        <w:rPr>
          <w:b/>
        </w:rPr>
      </w:pPr>
      <w:r w:rsidRPr="000F2FAE">
        <w:rPr>
          <w:b/>
        </w:rPr>
        <w:t>AOP 076</w:t>
      </w:r>
      <w:r w:rsidR="008B3906">
        <w:t xml:space="preserve"> </w:t>
      </w:r>
      <w:r w:rsidR="008B3906">
        <w:tab/>
      </w:r>
      <w:r w:rsidRPr="00E33D5E">
        <w:rPr>
          <w:b/>
        </w:rPr>
        <w:t>Istraživanje i razvoj: zaštita okoliša</w:t>
      </w:r>
      <w:r>
        <w:rPr>
          <w:b/>
        </w:rPr>
        <w:t xml:space="preserve">. </w:t>
      </w:r>
      <w:r w:rsidRPr="00E33D5E">
        <w:t xml:space="preserve">Rast u okviru ovog AOP-a vezan je za </w:t>
      </w:r>
      <w:r>
        <w:t xml:space="preserve">edukativne </w:t>
      </w:r>
      <w:r w:rsidRPr="00E33D5E">
        <w:t>aktivnosti u okviru provedbe projekta</w:t>
      </w:r>
      <w:r>
        <w:rPr>
          <w:b/>
        </w:rPr>
        <w:t xml:space="preserve"> Čist grad-nas ponOS.</w:t>
      </w:r>
    </w:p>
    <w:p w14:paraId="1DC0D555" w14:textId="77777777" w:rsidR="00AA634E" w:rsidRDefault="00AA634E" w:rsidP="00AA634E">
      <w:pPr>
        <w:jc w:val="both"/>
        <w:rPr>
          <w:b/>
        </w:rPr>
      </w:pPr>
    </w:p>
    <w:p w14:paraId="09C4E36A" w14:textId="77777777" w:rsidR="00AA634E" w:rsidRPr="00AA634E" w:rsidRDefault="008B3906" w:rsidP="00AA634E">
      <w:pPr>
        <w:jc w:val="both"/>
      </w:pPr>
      <w:r>
        <w:rPr>
          <w:b/>
        </w:rPr>
        <w:t xml:space="preserve">AOP 079 </w:t>
      </w:r>
      <w:r>
        <w:rPr>
          <w:b/>
        </w:rPr>
        <w:tab/>
      </w:r>
      <w:r w:rsidR="00AA634E">
        <w:rPr>
          <w:b/>
        </w:rPr>
        <w:t xml:space="preserve">Razvoj stanovanja. </w:t>
      </w:r>
      <w:r w:rsidR="00AA634E" w:rsidRPr="00AA634E">
        <w:t>Povećanje u okviru ovoga AOP-a rezultat je započetih investicija na izgradnji stanova za zbrinjavanje socijalno ugroženih osoba u gradu Osijeku.</w:t>
      </w:r>
    </w:p>
    <w:p w14:paraId="61552290" w14:textId="77777777" w:rsidR="00E25648" w:rsidRPr="00FC5D3F" w:rsidRDefault="00E25648" w:rsidP="00E25648">
      <w:pPr>
        <w:jc w:val="both"/>
        <w:rPr>
          <w:b/>
        </w:rPr>
      </w:pPr>
    </w:p>
    <w:p w14:paraId="1A1BCBFA" w14:textId="77777777" w:rsidR="00E25648" w:rsidRDefault="00E25648" w:rsidP="00E25648">
      <w:pPr>
        <w:jc w:val="both"/>
      </w:pPr>
      <w:r w:rsidRPr="00FC5D3F">
        <w:rPr>
          <w:b/>
        </w:rPr>
        <w:t>AOP 0</w:t>
      </w:r>
      <w:r>
        <w:rPr>
          <w:b/>
        </w:rPr>
        <w:t>80</w:t>
      </w:r>
      <w:r w:rsidR="008B3906">
        <w:rPr>
          <w:b/>
        </w:rPr>
        <w:t xml:space="preserve"> </w:t>
      </w:r>
      <w:r w:rsidR="008B3906">
        <w:rPr>
          <w:b/>
        </w:rPr>
        <w:tab/>
      </w:r>
      <w:r w:rsidRPr="00310C7A">
        <w:rPr>
          <w:b/>
        </w:rPr>
        <w:t>Rashodi vezani za razvoj zajednice</w:t>
      </w:r>
      <w:r w:rsidRPr="00FC5D3F">
        <w:t xml:space="preserve"> iznose </w:t>
      </w:r>
      <w:r>
        <w:t>11</w:t>
      </w:r>
      <w:r w:rsidR="00D366A0">
        <w:t>2</w:t>
      </w:r>
      <w:r w:rsidRPr="00FC5D3F">
        <w:t>.</w:t>
      </w:r>
      <w:r w:rsidR="00D366A0">
        <w:t>647</w:t>
      </w:r>
      <w:r w:rsidRPr="00FC5D3F">
        <w:t>.</w:t>
      </w:r>
      <w:r w:rsidR="00D366A0">
        <w:t>663</w:t>
      </w:r>
      <w:r w:rsidRPr="00FC5D3F">
        <w:t xml:space="preserve"> kn</w:t>
      </w:r>
      <w:r>
        <w:t xml:space="preserve"> što je </w:t>
      </w:r>
      <w:r w:rsidR="00D366A0">
        <w:t>smanjenje</w:t>
      </w:r>
      <w:r>
        <w:t xml:space="preserve"> od </w:t>
      </w:r>
      <w:r w:rsidR="00426FE9">
        <w:t>7</w:t>
      </w:r>
      <w:r w:rsidR="00D366A0">
        <w:t>.231</w:t>
      </w:r>
      <w:r>
        <w:t>.</w:t>
      </w:r>
      <w:r w:rsidR="00D366A0">
        <w:t>712</w:t>
      </w:r>
      <w:r>
        <w:t xml:space="preserve"> kn u odnosu na 201</w:t>
      </w:r>
      <w:r w:rsidR="00D366A0">
        <w:t>9</w:t>
      </w:r>
      <w:r>
        <w:t xml:space="preserve">. U okviru ovih rashoda najznačajniji su rashodi za </w:t>
      </w:r>
      <w:r w:rsidR="008B3906">
        <w:t>kapitalne investicije Grada, subvencije, održavanje javnih površina i prometnica i dr.</w:t>
      </w:r>
    </w:p>
    <w:p w14:paraId="376CEB3F" w14:textId="77777777" w:rsidR="008B3906" w:rsidRDefault="008B3906" w:rsidP="00E25648">
      <w:pPr>
        <w:jc w:val="both"/>
      </w:pPr>
    </w:p>
    <w:p w14:paraId="688996EB" w14:textId="77777777" w:rsidR="008B3906" w:rsidRDefault="008B3906" w:rsidP="00E25648">
      <w:pPr>
        <w:jc w:val="both"/>
      </w:pPr>
      <w:r w:rsidRPr="008B3906">
        <w:rPr>
          <w:b/>
        </w:rPr>
        <w:t>AOP 082</w:t>
      </w:r>
      <w:r>
        <w:tab/>
        <w:t>Smanjenje u okviru ovoga AOP-a rezultat je ostvarenih ušteda u troškovima električne energije za javnu rasvjetu uslijed izvršenih ulaganja u energetski učinkovita rasvjetna tijela.</w:t>
      </w:r>
    </w:p>
    <w:p w14:paraId="016F96B5" w14:textId="77777777" w:rsidR="008B3906" w:rsidRDefault="008B3906" w:rsidP="00E25648">
      <w:pPr>
        <w:jc w:val="both"/>
      </w:pPr>
    </w:p>
    <w:p w14:paraId="30F54F5C" w14:textId="77777777" w:rsidR="008B3906" w:rsidRDefault="008B3906" w:rsidP="00E25648">
      <w:pPr>
        <w:jc w:val="both"/>
      </w:pPr>
      <w:r w:rsidRPr="008B3906">
        <w:rPr>
          <w:b/>
        </w:rPr>
        <w:t>AOP 084</w:t>
      </w:r>
      <w:r>
        <w:tab/>
        <w:t>Iskazano smanjenje rezultat je preuzimanja vođenja poslova evidentiranja i naplate komunalne naknade od strane Grada Osijeka od 1.7.2020. U prethodnim godinama isto je za Grad obavljalo trgovačko društvo temeljem ugovornog odnosa.</w:t>
      </w:r>
    </w:p>
    <w:p w14:paraId="4DF23957" w14:textId="77777777" w:rsidR="008B3906" w:rsidRDefault="008B3906" w:rsidP="008B3906">
      <w:pPr>
        <w:jc w:val="both"/>
        <w:rPr>
          <w:b/>
        </w:rPr>
      </w:pPr>
    </w:p>
    <w:p w14:paraId="608E976E" w14:textId="77777777" w:rsidR="008B3906" w:rsidRDefault="008B3906" w:rsidP="008B3906">
      <w:pPr>
        <w:jc w:val="both"/>
      </w:pPr>
      <w:r>
        <w:rPr>
          <w:b/>
        </w:rPr>
        <w:t xml:space="preserve">AOP 102 </w:t>
      </w:r>
      <w:r>
        <w:rPr>
          <w:b/>
        </w:rPr>
        <w:tab/>
        <w:t xml:space="preserve">Poslovi i usluge zdravstva koji nisu drugdje svrstani </w:t>
      </w:r>
      <w:r>
        <w:t>veći su za 800.160</w:t>
      </w:r>
      <w:r w:rsidRPr="005A41B7">
        <w:t xml:space="preserve"> kn</w:t>
      </w:r>
      <w:r>
        <w:t>. Predmetno povećanje vezano je za izvršene usluge tretiranja komaraca na području Grada Osijeka.</w:t>
      </w:r>
      <w:r w:rsidRPr="00FC5D3F">
        <w:t xml:space="preserve"> </w:t>
      </w:r>
    </w:p>
    <w:p w14:paraId="595450CB" w14:textId="77777777" w:rsidR="00282B27" w:rsidRPr="00FC5D3F" w:rsidRDefault="00282B27" w:rsidP="00E25648">
      <w:pPr>
        <w:jc w:val="both"/>
        <w:rPr>
          <w:b/>
        </w:rPr>
      </w:pPr>
    </w:p>
    <w:p w14:paraId="12AC62ED" w14:textId="77777777" w:rsidR="009B48AB" w:rsidRDefault="009B48AB" w:rsidP="009B48AB">
      <w:pPr>
        <w:jc w:val="both"/>
      </w:pPr>
      <w:r w:rsidRPr="0095703A">
        <w:rPr>
          <w:b/>
        </w:rPr>
        <w:t>A</w:t>
      </w:r>
      <w:r w:rsidR="00FF39C4">
        <w:rPr>
          <w:b/>
        </w:rPr>
        <w:t>OP 112</w:t>
      </w:r>
      <w:r w:rsidR="00FF39C4">
        <w:rPr>
          <w:b/>
        </w:rPr>
        <w:tab/>
      </w:r>
      <w:r>
        <w:t>Povećanje u okviru ovoga AOP-a iznosi 861</w:t>
      </w:r>
      <w:r w:rsidRPr="0095703A">
        <w:t>.</w:t>
      </w:r>
      <w:r>
        <w:t>463</w:t>
      </w:r>
      <w:r w:rsidRPr="0095703A">
        <w:t xml:space="preserve"> kn.</w:t>
      </w:r>
      <w:r w:rsidRPr="009B48AB">
        <w:t xml:space="preserve"> </w:t>
      </w:r>
      <w:r>
        <w:t xml:space="preserve">Rashodi u okviru ovoga AOP-a prvenstveno se odnose na rashode Dječjeg vrtića Osijek.  </w:t>
      </w:r>
    </w:p>
    <w:p w14:paraId="7A5BD624" w14:textId="77777777" w:rsidR="009B48AB" w:rsidRPr="0095703A" w:rsidRDefault="009B48AB" w:rsidP="009B48AB">
      <w:pPr>
        <w:jc w:val="both"/>
      </w:pPr>
      <w:r w:rsidRPr="0095703A">
        <w:t xml:space="preserve">U 2020. </w:t>
      </w:r>
      <w:r>
        <w:t>Grad Osijek je z</w:t>
      </w:r>
      <w:r w:rsidRPr="0095703A">
        <w:t xml:space="preserve">a energetsku obnovu dječjih </w:t>
      </w:r>
      <w:r>
        <w:t>vrtića Potočnica i Latica utrošio</w:t>
      </w:r>
      <w:r w:rsidRPr="0095703A">
        <w:t xml:space="preserve"> 4.544.066 kn dok se preostala sredstva odnose na financiranje privatnih dječjih vrtića u dijelovima grada koji nisu pokriveni mrežom gradskih vrtića.</w:t>
      </w:r>
    </w:p>
    <w:p w14:paraId="30331E30" w14:textId="77777777" w:rsidR="009B48AB" w:rsidRPr="00E33D5E" w:rsidRDefault="009B48AB" w:rsidP="009B48AB">
      <w:pPr>
        <w:jc w:val="both"/>
        <w:rPr>
          <w:b/>
          <w:color w:val="FF0000"/>
        </w:rPr>
      </w:pPr>
    </w:p>
    <w:p w14:paraId="3419DBB3" w14:textId="77777777" w:rsidR="009B48AB" w:rsidRPr="0095703A" w:rsidRDefault="00FF39C4" w:rsidP="009B48AB">
      <w:pPr>
        <w:jc w:val="both"/>
      </w:pPr>
      <w:r>
        <w:rPr>
          <w:b/>
        </w:rPr>
        <w:t xml:space="preserve">AOP 113 </w:t>
      </w:r>
      <w:r>
        <w:rPr>
          <w:b/>
        </w:rPr>
        <w:tab/>
      </w:r>
      <w:r w:rsidR="009B48AB" w:rsidRPr="0095703A">
        <w:t>U rashodima vezanim za osnovno obrazovanje iskazano je smanjenje u iznosu 1</w:t>
      </w:r>
      <w:r w:rsidR="009B48AB">
        <w:t>2</w:t>
      </w:r>
      <w:r w:rsidR="009B48AB" w:rsidRPr="0095703A">
        <w:t>.</w:t>
      </w:r>
      <w:r w:rsidR="009B48AB">
        <w:t>229</w:t>
      </w:r>
      <w:r w:rsidR="009B48AB" w:rsidRPr="0095703A">
        <w:t>.</w:t>
      </w:r>
      <w:r w:rsidR="009B48AB">
        <w:t>235</w:t>
      </w:r>
      <w:r w:rsidR="009B48AB" w:rsidRPr="0095703A">
        <w:t xml:space="preserve"> kn.</w:t>
      </w:r>
      <w:r w:rsidR="009B48AB">
        <w:t xml:space="preserve"> U okviru ovih rashoda iskazane su</w:t>
      </w:r>
      <w:r w:rsidR="009B48AB" w:rsidRPr="0095703A">
        <w:t xml:space="preserve"> </w:t>
      </w:r>
      <w:r w:rsidR="009B48AB" w:rsidRPr="00B46B25">
        <w:t xml:space="preserve">plaće djelatnika u osnovnim školama, </w:t>
      </w:r>
      <w:r w:rsidR="009B48AB">
        <w:lastRenderedPageBreak/>
        <w:t xml:space="preserve">materijalni i financijski rashodi osnovnih škola, </w:t>
      </w:r>
      <w:r w:rsidR="009B48AB" w:rsidRPr="00B46B25">
        <w:t xml:space="preserve">prenesena sredstva za nabavu udžbenika, sredstva za provedbu projekta </w:t>
      </w:r>
      <w:proofErr w:type="spellStart"/>
      <w:r w:rsidR="009B48AB" w:rsidRPr="00B46B25">
        <w:t>Kur</w:t>
      </w:r>
      <w:r w:rsidR="00B75029">
        <w:t>i</w:t>
      </w:r>
      <w:r w:rsidR="009B48AB" w:rsidRPr="00B46B25">
        <w:t>kularne</w:t>
      </w:r>
      <w:proofErr w:type="spellEnd"/>
      <w:r w:rsidR="009B48AB" w:rsidRPr="00B46B25">
        <w:t xml:space="preserve"> reforme</w:t>
      </w:r>
      <w:r w:rsidR="009B48AB">
        <w:t xml:space="preserve">, projekt Produženi boravak, </w:t>
      </w:r>
      <w:r w:rsidR="00FB531A">
        <w:t xml:space="preserve">besplatna prehrana u školama, </w:t>
      </w:r>
      <w:r w:rsidR="009B48AB">
        <w:t xml:space="preserve">projekt ''ADHD'' </w:t>
      </w:r>
      <w:r w:rsidR="009B48AB" w:rsidRPr="00B46B25">
        <w:t xml:space="preserve">i </w:t>
      </w:r>
      <w:proofErr w:type="spellStart"/>
      <w:r w:rsidR="009B48AB" w:rsidRPr="00B46B25">
        <w:t>dr</w:t>
      </w:r>
      <w:proofErr w:type="spellEnd"/>
      <w:r w:rsidR="009B48AB" w:rsidRPr="0095703A">
        <w:t xml:space="preserve"> U 2019. izvršena su značajna ulaganja u izgradnju školskih prostora u OŠ Tenja i OŠ </w:t>
      </w:r>
      <w:proofErr w:type="spellStart"/>
      <w:r w:rsidR="009B48AB" w:rsidRPr="0095703A">
        <w:t>Briješće</w:t>
      </w:r>
      <w:proofErr w:type="spellEnd"/>
      <w:r w:rsidR="009B48AB" w:rsidRPr="0095703A">
        <w:t xml:space="preserve"> ta opremanje istih kao i rekonstrukciju OŠ Mladost. U 2020. nastavljena je energetska obnova i rekonstrukcija OŠ Mladost za što je utrošeno 11.570.939 kn te energetska obnova OŠ Vijenac 4.599.494 kn. Rashodi za završetak OŠ u </w:t>
      </w:r>
      <w:proofErr w:type="spellStart"/>
      <w:r w:rsidR="009B48AB" w:rsidRPr="0095703A">
        <w:t>Briješću</w:t>
      </w:r>
      <w:proofErr w:type="spellEnd"/>
      <w:r w:rsidR="009B48AB" w:rsidRPr="0095703A">
        <w:t xml:space="preserve"> iznosili su 1.048.232 kn. </w:t>
      </w:r>
    </w:p>
    <w:p w14:paraId="5F0E27B6" w14:textId="77777777" w:rsidR="00E25648" w:rsidRPr="00FC5D3F" w:rsidRDefault="00E25648" w:rsidP="00E25648">
      <w:pPr>
        <w:jc w:val="both"/>
        <w:rPr>
          <w:b/>
        </w:rPr>
      </w:pPr>
    </w:p>
    <w:p w14:paraId="3D16481C" w14:textId="77777777" w:rsidR="00E25648" w:rsidRDefault="00E25648" w:rsidP="0037783F">
      <w:pPr>
        <w:ind w:firstLine="708"/>
        <w:jc w:val="both"/>
        <w:rPr>
          <w:b/>
          <w:highlight w:val="yellow"/>
        </w:rPr>
      </w:pPr>
    </w:p>
    <w:p w14:paraId="1AD92F98" w14:textId="77777777" w:rsidR="00E25648" w:rsidRDefault="00E25648" w:rsidP="0037783F">
      <w:pPr>
        <w:ind w:firstLine="708"/>
        <w:jc w:val="both"/>
        <w:rPr>
          <w:b/>
          <w:highlight w:val="yellow"/>
        </w:rPr>
      </w:pPr>
    </w:p>
    <w:p w14:paraId="19039065" w14:textId="77777777" w:rsidR="009F1018" w:rsidRDefault="001D2626" w:rsidP="009F1018">
      <w:pPr>
        <w:jc w:val="both"/>
      </w:pPr>
      <w:r>
        <w:tab/>
      </w:r>
      <w:r>
        <w:tab/>
      </w:r>
      <w:r>
        <w:tab/>
      </w:r>
      <w:r>
        <w:tab/>
      </w:r>
      <w:r w:rsidR="009F1018">
        <w:tab/>
      </w:r>
      <w:r w:rsidR="009F1018">
        <w:tab/>
      </w:r>
      <w:r w:rsidR="009F1018">
        <w:tab/>
        <w:t xml:space="preserve">         Zakonski predstavnik</w:t>
      </w:r>
    </w:p>
    <w:p w14:paraId="38C732AE" w14:textId="77777777" w:rsidR="009F1018" w:rsidRDefault="009F1018" w:rsidP="009F1018">
      <w:pPr>
        <w:jc w:val="both"/>
      </w:pPr>
    </w:p>
    <w:p w14:paraId="4CF01BB2" w14:textId="77777777" w:rsidR="009F1018" w:rsidRPr="00A21992" w:rsidRDefault="009F1018" w:rsidP="009F10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635761" w14:textId="77777777" w:rsidR="00E25648" w:rsidRDefault="00E25648" w:rsidP="0037783F">
      <w:pPr>
        <w:ind w:firstLine="708"/>
        <w:jc w:val="both"/>
        <w:rPr>
          <w:b/>
          <w:highlight w:val="yellow"/>
        </w:rPr>
      </w:pPr>
    </w:p>
    <w:p w14:paraId="281BE44E" w14:textId="77777777" w:rsidR="00E25648" w:rsidRDefault="00E25648" w:rsidP="0037783F">
      <w:pPr>
        <w:ind w:firstLine="708"/>
        <w:jc w:val="both"/>
        <w:rPr>
          <w:b/>
          <w:highlight w:val="yellow"/>
        </w:rPr>
      </w:pPr>
    </w:p>
    <w:p w14:paraId="5112436D" w14:textId="77777777" w:rsidR="000C2065" w:rsidRPr="00DF0295" w:rsidRDefault="000C2065" w:rsidP="00D80E9F">
      <w:pPr>
        <w:jc w:val="center"/>
        <w:rPr>
          <w:b/>
          <w:highlight w:val="yellow"/>
        </w:rPr>
      </w:pPr>
    </w:p>
    <w:p w14:paraId="44B18430" w14:textId="77777777" w:rsidR="00C9479E" w:rsidRPr="00DF0295" w:rsidRDefault="00C9479E">
      <w:pPr>
        <w:spacing w:after="200" w:line="276" w:lineRule="auto"/>
        <w:rPr>
          <w:b/>
          <w:highlight w:val="yellow"/>
        </w:rPr>
      </w:pPr>
      <w:r w:rsidRPr="00DF0295">
        <w:rPr>
          <w:b/>
          <w:highlight w:val="yellow"/>
        </w:rPr>
        <w:br w:type="page"/>
      </w:r>
    </w:p>
    <w:p w14:paraId="69290C3D" w14:textId="77777777" w:rsidR="00C9479E" w:rsidRPr="00DF0295" w:rsidRDefault="00C9479E" w:rsidP="003C31E6">
      <w:pPr>
        <w:jc w:val="both"/>
        <w:rPr>
          <w:highlight w:val="yellow"/>
        </w:rPr>
      </w:pPr>
    </w:p>
    <w:p w14:paraId="66C76217" w14:textId="77777777" w:rsidR="00BA3CD9" w:rsidRPr="00DF0295" w:rsidRDefault="00BA3CD9">
      <w:pPr>
        <w:rPr>
          <w:highlight w:val="yellow"/>
        </w:rPr>
      </w:pPr>
    </w:p>
    <w:p w14:paraId="0A0AF5B5" w14:textId="77777777" w:rsidR="00331586" w:rsidRPr="00DF0295" w:rsidRDefault="00331586">
      <w:pPr>
        <w:spacing w:after="200" w:line="276" w:lineRule="auto"/>
        <w:rPr>
          <w:b/>
          <w:highlight w:val="yellow"/>
        </w:rPr>
      </w:pPr>
      <w:r w:rsidRPr="00DF0295">
        <w:rPr>
          <w:b/>
          <w:highlight w:val="yellow"/>
        </w:rPr>
        <w:br w:type="page"/>
      </w:r>
    </w:p>
    <w:sectPr w:rsidR="00331586" w:rsidRPr="00DF0295" w:rsidSect="000D6AFC">
      <w:pgSz w:w="12240" w:h="15840" w:code="1"/>
      <w:pgMar w:top="1418" w:right="1418" w:bottom="1418" w:left="1418" w:header="720" w:footer="720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2680E7" w15:done="0"/>
  <w15:commentEx w15:paraId="2A2D33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538"/>
    <w:multiLevelType w:val="hybridMultilevel"/>
    <w:tmpl w:val="69D801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354C75"/>
    <w:multiLevelType w:val="hybridMultilevel"/>
    <w:tmpl w:val="58ECE3EA"/>
    <w:lvl w:ilvl="0" w:tplc="1702F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319EA"/>
    <w:multiLevelType w:val="hybridMultilevel"/>
    <w:tmpl w:val="053624EC"/>
    <w:lvl w:ilvl="0" w:tplc="4350DC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a Nikolić">
    <w15:presenceInfo w15:providerId="AD" w15:userId="S-1-5-21-3990940627-112473907-3055128064-9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9F"/>
    <w:rsid w:val="0000064C"/>
    <w:rsid w:val="0000321F"/>
    <w:rsid w:val="00004AF9"/>
    <w:rsid w:val="000062E1"/>
    <w:rsid w:val="000153E5"/>
    <w:rsid w:val="00017C72"/>
    <w:rsid w:val="000301E5"/>
    <w:rsid w:val="000321BE"/>
    <w:rsid w:val="00035A84"/>
    <w:rsid w:val="000378FF"/>
    <w:rsid w:val="000430C4"/>
    <w:rsid w:val="000430E2"/>
    <w:rsid w:val="00046880"/>
    <w:rsid w:val="00046898"/>
    <w:rsid w:val="0005203F"/>
    <w:rsid w:val="00056823"/>
    <w:rsid w:val="0006607A"/>
    <w:rsid w:val="000665B9"/>
    <w:rsid w:val="000678E9"/>
    <w:rsid w:val="00070EE2"/>
    <w:rsid w:val="000757F0"/>
    <w:rsid w:val="00083AF6"/>
    <w:rsid w:val="000859C6"/>
    <w:rsid w:val="000872F2"/>
    <w:rsid w:val="000919AC"/>
    <w:rsid w:val="00094C5C"/>
    <w:rsid w:val="000B5BDC"/>
    <w:rsid w:val="000C2065"/>
    <w:rsid w:val="000C45CF"/>
    <w:rsid w:val="000D27C8"/>
    <w:rsid w:val="000D6AFC"/>
    <w:rsid w:val="000D72D1"/>
    <w:rsid w:val="000E1B3E"/>
    <w:rsid w:val="000F2024"/>
    <w:rsid w:val="0010035F"/>
    <w:rsid w:val="001007B0"/>
    <w:rsid w:val="001031C8"/>
    <w:rsid w:val="00113347"/>
    <w:rsid w:val="0012253E"/>
    <w:rsid w:val="00126753"/>
    <w:rsid w:val="001531DD"/>
    <w:rsid w:val="001616CB"/>
    <w:rsid w:val="00163437"/>
    <w:rsid w:val="00163EFF"/>
    <w:rsid w:val="00171FCF"/>
    <w:rsid w:val="00174580"/>
    <w:rsid w:val="001947F1"/>
    <w:rsid w:val="00195E3E"/>
    <w:rsid w:val="001976BB"/>
    <w:rsid w:val="001A0886"/>
    <w:rsid w:val="001C7263"/>
    <w:rsid w:val="001D2626"/>
    <w:rsid w:val="001D412B"/>
    <w:rsid w:val="001E4A15"/>
    <w:rsid w:val="001E64A8"/>
    <w:rsid w:val="001E76B2"/>
    <w:rsid w:val="001F00D6"/>
    <w:rsid w:val="00203A20"/>
    <w:rsid w:val="0020437C"/>
    <w:rsid w:val="00207BF0"/>
    <w:rsid w:val="00213CF8"/>
    <w:rsid w:val="00216A90"/>
    <w:rsid w:val="00223171"/>
    <w:rsid w:val="002632EE"/>
    <w:rsid w:val="00263364"/>
    <w:rsid w:val="00263409"/>
    <w:rsid w:val="002755E8"/>
    <w:rsid w:val="002825B1"/>
    <w:rsid w:val="00282B27"/>
    <w:rsid w:val="00291AE8"/>
    <w:rsid w:val="00296D7D"/>
    <w:rsid w:val="002A15D9"/>
    <w:rsid w:val="002A585E"/>
    <w:rsid w:val="002B2E3B"/>
    <w:rsid w:val="002B37AF"/>
    <w:rsid w:val="002E45E8"/>
    <w:rsid w:val="002E6949"/>
    <w:rsid w:val="002F150C"/>
    <w:rsid w:val="002F21E5"/>
    <w:rsid w:val="003104C5"/>
    <w:rsid w:val="00313F5E"/>
    <w:rsid w:val="003140EC"/>
    <w:rsid w:val="00331586"/>
    <w:rsid w:val="00336337"/>
    <w:rsid w:val="00350CFE"/>
    <w:rsid w:val="00351DF3"/>
    <w:rsid w:val="0035737D"/>
    <w:rsid w:val="00357DC0"/>
    <w:rsid w:val="003640A9"/>
    <w:rsid w:val="00365F9F"/>
    <w:rsid w:val="00366B17"/>
    <w:rsid w:val="00376AE3"/>
    <w:rsid w:val="0037783F"/>
    <w:rsid w:val="003875CB"/>
    <w:rsid w:val="00391B5D"/>
    <w:rsid w:val="003937D9"/>
    <w:rsid w:val="00394CD6"/>
    <w:rsid w:val="003A6C33"/>
    <w:rsid w:val="003B61FB"/>
    <w:rsid w:val="003C31E6"/>
    <w:rsid w:val="003C4B90"/>
    <w:rsid w:val="003C5334"/>
    <w:rsid w:val="003D1ED5"/>
    <w:rsid w:val="003D6094"/>
    <w:rsid w:val="003E373E"/>
    <w:rsid w:val="003E7ABD"/>
    <w:rsid w:val="003F507D"/>
    <w:rsid w:val="00411A77"/>
    <w:rsid w:val="00413835"/>
    <w:rsid w:val="00414D71"/>
    <w:rsid w:val="00426FE9"/>
    <w:rsid w:val="0043290B"/>
    <w:rsid w:val="004332CB"/>
    <w:rsid w:val="00435377"/>
    <w:rsid w:val="004368AE"/>
    <w:rsid w:val="0044048F"/>
    <w:rsid w:val="00440891"/>
    <w:rsid w:val="00445884"/>
    <w:rsid w:val="0046095E"/>
    <w:rsid w:val="004625E8"/>
    <w:rsid w:val="00476C79"/>
    <w:rsid w:val="00477598"/>
    <w:rsid w:val="0049238B"/>
    <w:rsid w:val="004966D7"/>
    <w:rsid w:val="004A2296"/>
    <w:rsid w:val="004B494D"/>
    <w:rsid w:val="004B4999"/>
    <w:rsid w:val="004C704D"/>
    <w:rsid w:val="004C7987"/>
    <w:rsid w:val="004D0B09"/>
    <w:rsid w:val="005003EC"/>
    <w:rsid w:val="00506885"/>
    <w:rsid w:val="005223F2"/>
    <w:rsid w:val="005226E4"/>
    <w:rsid w:val="00522823"/>
    <w:rsid w:val="00533744"/>
    <w:rsid w:val="0054060F"/>
    <w:rsid w:val="00545EFA"/>
    <w:rsid w:val="005470A0"/>
    <w:rsid w:val="005559A7"/>
    <w:rsid w:val="00560DA1"/>
    <w:rsid w:val="005643B4"/>
    <w:rsid w:val="0056786C"/>
    <w:rsid w:val="005742A1"/>
    <w:rsid w:val="0058587A"/>
    <w:rsid w:val="0059422A"/>
    <w:rsid w:val="00595BB2"/>
    <w:rsid w:val="00596E5C"/>
    <w:rsid w:val="00597563"/>
    <w:rsid w:val="005A3EBC"/>
    <w:rsid w:val="005A6097"/>
    <w:rsid w:val="005A70CA"/>
    <w:rsid w:val="005B0C86"/>
    <w:rsid w:val="005B1969"/>
    <w:rsid w:val="005B4230"/>
    <w:rsid w:val="005C1099"/>
    <w:rsid w:val="005D38A5"/>
    <w:rsid w:val="005D6036"/>
    <w:rsid w:val="005E6BB6"/>
    <w:rsid w:val="005F0C21"/>
    <w:rsid w:val="00604901"/>
    <w:rsid w:val="00612AF9"/>
    <w:rsid w:val="0062270D"/>
    <w:rsid w:val="00641F2F"/>
    <w:rsid w:val="00645BDE"/>
    <w:rsid w:val="00650A6A"/>
    <w:rsid w:val="0065527B"/>
    <w:rsid w:val="006568BD"/>
    <w:rsid w:val="00662044"/>
    <w:rsid w:val="00663640"/>
    <w:rsid w:val="0066385E"/>
    <w:rsid w:val="006720F4"/>
    <w:rsid w:val="006801F9"/>
    <w:rsid w:val="00687D61"/>
    <w:rsid w:val="00691547"/>
    <w:rsid w:val="00694914"/>
    <w:rsid w:val="006952DA"/>
    <w:rsid w:val="006A1ABF"/>
    <w:rsid w:val="006A5979"/>
    <w:rsid w:val="006B0CA9"/>
    <w:rsid w:val="006B0E21"/>
    <w:rsid w:val="006B3D10"/>
    <w:rsid w:val="006D7D3A"/>
    <w:rsid w:val="006E3AE1"/>
    <w:rsid w:val="006E62E4"/>
    <w:rsid w:val="006F07F4"/>
    <w:rsid w:val="006F0BA1"/>
    <w:rsid w:val="006F5345"/>
    <w:rsid w:val="0071423A"/>
    <w:rsid w:val="00727A64"/>
    <w:rsid w:val="0074333E"/>
    <w:rsid w:val="007433BD"/>
    <w:rsid w:val="007469E8"/>
    <w:rsid w:val="00747939"/>
    <w:rsid w:val="00750848"/>
    <w:rsid w:val="007568CD"/>
    <w:rsid w:val="00760C0C"/>
    <w:rsid w:val="007865E8"/>
    <w:rsid w:val="00792F2E"/>
    <w:rsid w:val="007967C0"/>
    <w:rsid w:val="007A047C"/>
    <w:rsid w:val="007A267A"/>
    <w:rsid w:val="007A6523"/>
    <w:rsid w:val="007E7FA8"/>
    <w:rsid w:val="007F3952"/>
    <w:rsid w:val="007F3C6B"/>
    <w:rsid w:val="007F4107"/>
    <w:rsid w:val="007F4748"/>
    <w:rsid w:val="00801138"/>
    <w:rsid w:val="00802CC6"/>
    <w:rsid w:val="00805F4C"/>
    <w:rsid w:val="00806AB8"/>
    <w:rsid w:val="008100F3"/>
    <w:rsid w:val="00812DB5"/>
    <w:rsid w:val="0082071B"/>
    <w:rsid w:val="00825667"/>
    <w:rsid w:val="00827388"/>
    <w:rsid w:val="00841619"/>
    <w:rsid w:val="008641D3"/>
    <w:rsid w:val="00873C8A"/>
    <w:rsid w:val="00874268"/>
    <w:rsid w:val="008758D0"/>
    <w:rsid w:val="00875A0F"/>
    <w:rsid w:val="00884E8F"/>
    <w:rsid w:val="00887553"/>
    <w:rsid w:val="00887EC0"/>
    <w:rsid w:val="008A3219"/>
    <w:rsid w:val="008B22E5"/>
    <w:rsid w:val="008B3906"/>
    <w:rsid w:val="008B3A13"/>
    <w:rsid w:val="008C3ACC"/>
    <w:rsid w:val="008C53B2"/>
    <w:rsid w:val="008C775A"/>
    <w:rsid w:val="008D2049"/>
    <w:rsid w:val="008D4CF3"/>
    <w:rsid w:val="008D552F"/>
    <w:rsid w:val="008E003E"/>
    <w:rsid w:val="008F65E1"/>
    <w:rsid w:val="009072E5"/>
    <w:rsid w:val="00912001"/>
    <w:rsid w:val="009154AC"/>
    <w:rsid w:val="009175C2"/>
    <w:rsid w:val="009257D9"/>
    <w:rsid w:val="00930B8B"/>
    <w:rsid w:val="00934A87"/>
    <w:rsid w:val="009479A0"/>
    <w:rsid w:val="00957110"/>
    <w:rsid w:val="009A3EF9"/>
    <w:rsid w:val="009A742B"/>
    <w:rsid w:val="009B0809"/>
    <w:rsid w:val="009B0C40"/>
    <w:rsid w:val="009B13B3"/>
    <w:rsid w:val="009B48AB"/>
    <w:rsid w:val="009C2547"/>
    <w:rsid w:val="009D293A"/>
    <w:rsid w:val="009E096A"/>
    <w:rsid w:val="009F1018"/>
    <w:rsid w:val="009F175F"/>
    <w:rsid w:val="00A00005"/>
    <w:rsid w:val="00A003EC"/>
    <w:rsid w:val="00A01874"/>
    <w:rsid w:val="00A01D4E"/>
    <w:rsid w:val="00A06245"/>
    <w:rsid w:val="00A24715"/>
    <w:rsid w:val="00A379C9"/>
    <w:rsid w:val="00A40529"/>
    <w:rsid w:val="00A422B0"/>
    <w:rsid w:val="00A55B0A"/>
    <w:rsid w:val="00A57398"/>
    <w:rsid w:val="00A714C7"/>
    <w:rsid w:val="00A73C9E"/>
    <w:rsid w:val="00A73F8D"/>
    <w:rsid w:val="00A75AB5"/>
    <w:rsid w:val="00A800E3"/>
    <w:rsid w:val="00A81937"/>
    <w:rsid w:val="00A84A5C"/>
    <w:rsid w:val="00A90B24"/>
    <w:rsid w:val="00AA1F22"/>
    <w:rsid w:val="00AA634E"/>
    <w:rsid w:val="00AA7080"/>
    <w:rsid w:val="00AB5DB5"/>
    <w:rsid w:val="00AB75FF"/>
    <w:rsid w:val="00AC0957"/>
    <w:rsid w:val="00AC152E"/>
    <w:rsid w:val="00AC3E9E"/>
    <w:rsid w:val="00AE1AA4"/>
    <w:rsid w:val="00AF5992"/>
    <w:rsid w:val="00B020EC"/>
    <w:rsid w:val="00B14D39"/>
    <w:rsid w:val="00B2054C"/>
    <w:rsid w:val="00B41640"/>
    <w:rsid w:val="00B437A5"/>
    <w:rsid w:val="00B443F7"/>
    <w:rsid w:val="00B46B25"/>
    <w:rsid w:val="00B471B5"/>
    <w:rsid w:val="00B50BD0"/>
    <w:rsid w:val="00B532A0"/>
    <w:rsid w:val="00B55891"/>
    <w:rsid w:val="00B572FA"/>
    <w:rsid w:val="00B60039"/>
    <w:rsid w:val="00B6488E"/>
    <w:rsid w:val="00B66489"/>
    <w:rsid w:val="00B75029"/>
    <w:rsid w:val="00B83276"/>
    <w:rsid w:val="00B83645"/>
    <w:rsid w:val="00BA3CD9"/>
    <w:rsid w:val="00BA7F20"/>
    <w:rsid w:val="00BD5C97"/>
    <w:rsid w:val="00BD7374"/>
    <w:rsid w:val="00BE29D4"/>
    <w:rsid w:val="00BE79D0"/>
    <w:rsid w:val="00BF2B8F"/>
    <w:rsid w:val="00C1135E"/>
    <w:rsid w:val="00C12702"/>
    <w:rsid w:val="00C13249"/>
    <w:rsid w:val="00C15709"/>
    <w:rsid w:val="00C163A6"/>
    <w:rsid w:val="00C34BE2"/>
    <w:rsid w:val="00C45CB3"/>
    <w:rsid w:val="00C519ED"/>
    <w:rsid w:val="00C51DB5"/>
    <w:rsid w:val="00C61D19"/>
    <w:rsid w:val="00C75CB8"/>
    <w:rsid w:val="00C92E9A"/>
    <w:rsid w:val="00C9479E"/>
    <w:rsid w:val="00CA3968"/>
    <w:rsid w:val="00CB048D"/>
    <w:rsid w:val="00CC66B6"/>
    <w:rsid w:val="00CC719B"/>
    <w:rsid w:val="00CC78D9"/>
    <w:rsid w:val="00CD00CF"/>
    <w:rsid w:val="00CD5730"/>
    <w:rsid w:val="00CD6EC4"/>
    <w:rsid w:val="00CD723A"/>
    <w:rsid w:val="00CD791F"/>
    <w:rsid w:val="00CE2662"/>
    <w:rsid w:val="00CE2B1D"/>
    <w:rsid w:val="00CE617A"/>
    <w:rsid w:val="00D013A7"/>
    <w:rsid w:val="00D0361F"/>
    <w:rsid w:val="00D043C1"/>
    <w:rsid w:val="00D12AB1"/>
    <w:rsid w:val="00D1302E"/>
    <w:rsid w:val="00D322F5"/>
    <w:rsid w:val="00D366A0"/>
    <w:rsid w:val="00D37B4A"/>
    <w:rsid w:val="00D416CB"/>
    <w:rsid w:val="00D459C1"/>
    <w:rsid w:val="00D50F25"/>
    <w:rsid w:val="00D7263E"/>
    <w:rsid w:val="00D72F5A"/>
    <w:rsid w:val="00D73CE3"/>
    <w:rsid w:val="00D758D6"/>
    <w:rsid w:val="00D76A61"/>
    <w:rsid w:val="00D80E9F"/>
    <w:rsid w:val="00D94F1D"/>
    <w:rsid w:val="00D95C2F"/>
    <w:rsid w:val="00D96AF9"/>
    <w:rsid w:val="00D97366"/>
    <w:rsid w:val="00D97CD7"/>
    <w:rsid w:val="00DB2378"/>
    <w:rsid w:val="00DB7BA7"/>
    <w:rsid w:val="00DC0E53"/>
    <w:rsid w:val="00DD0440"/>
    <w:rsid w:val="00DD2FE3"/>
    <w:rsid w:val="00DE30B9"/>
    <w:rsid w:val="00DE7ADE"/>
    <w:rsid w:val="00DF0295"/>
    <w:rsid w:val="00DF710E"/>
    <w:rsid w:val="00E239B2"/>
    <w:rsid w:val="00E25648"/>
    <w:rsid w:val="00E341F2"/>
    <w:rsid w:val="00E40CE5"/>
    <w:rsid w:val="00E43231"/>
    <w:rsid w:val="00E435A0"/>
    <w:rsid w:val="00E44096"/>
    <w:rsid w:val="00E47D8E"/>
    <w:rsid w:val="00E55552"/>
    <w:rsid w:val="00E666C9"/>
    <w:rsid w:val="00E814BF"/>
    <w:rsid w:val="00E93812"/>
    <w:rsid w:val="00EA00CD"/>
    <w:rsid w:val="00EA3328"/>
    <w:rsid w:val="00EA3869"/>
    <w:rsid w:val="00EC636F"/>
    <w:rsid w:val="00ED27B0"/>
    <w:rsid w:val="00ED52AE"/>
    <w:rsid w:val="00ED54F6"/>
    <w:rsid w:val="00EE16F6"/>
    <w:rsid w:val="00EE3CCF"/>
    <w:rsid w:val="00EE5AFF"/>
    <w:rsid w:val="00F248D2"/>
    <w:rsid w:val="00F328F5"/>
    <w:rsid w:val="00F35AF9"/>
    <w:rsid w:val="00F364FC"/>
    <w:rsid w:val="00F36CAF"/>
    <w:rsid w:val="00F3703B"/>
    <w:rsid w:val="00F66ED3"/>
    <w:rsid w:val="00F73844"/>
    <w:rsid w:val="00F80FEB"/>
    <w:rsid w:val="00F92209"/>
    <w:rsid w:val="00FB531A"/>
    <w:rsid w:val="00FE3D40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5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80E9F"/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D80E9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CB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919AC"/>
    <w:pPr>
      <w:ind w:left="720"/>
      <w:contextualSpacing/>
    </w:pPr>
  </w:style>
  <w:style w:type="paragraph" w:styleId="Bezproreda">
    <w:name w:val="No Spacing"/>
    <w:autoRedefine/>
    <w:uiPriority w:val="1"/>
    <w:qFormat/>
    <w:rsid w:val="004A2296"/>
    <w:pPr>
      <w:spacing w:after="0" w:line="240" w:lineRule="auto"/>
      <w:ind w:left="-180" w:firstLine="888"/>
      <w:jc w:val="both"/>
    </w:pPr>
    <w:rPr>
      <w:rFonts w:ascii="Times New Roman" w:hAnsi="Times New Roman"/>
      <w:b/>
      <w:color w:val="000000" w:themeColor="text1"/>
    </w:rPr>
  </w:style>
  <w:style w:type="paragraph" w:styleId="Obinitekst">
    <w:name w:val="Plain Text"/>
    <w:basedOn w:val="Normal"/>
    <w:link w:val="ObinitekstChar"/>
    <w:uiPriority w:val="99"/>
    <w:rsid w:val="00B020E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B020E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B020E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B020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D73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7D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7D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7D8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7D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7D8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80E9F"/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D80E9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CB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919AC"/>
    <w:pPr>
      <w:ind w:left="720"/>
      <w:contextualSpacing/>
    </w:pPr>
  </w:style>
  <w:style w:type="paragraph" w:styleId="Bezproreda">
    <w:name w:val="No Spacing"/>
    <w:autoRedefine/>
    <w:uiPriority w:val="1"/>
    <w:qFormat/>
    <w:rsid w:val="004A2296"/>
    <w:pPr>
      <w:spacing w:after="0" w:line="240" w:lineRule="auto"/>
      <w:ind w:left="-180" w:firstLine="888"/>
      <w:jc w:val="both"/>
    </w:pPr>
    <w:rPr>
      <w:rFonts w:ascii="Times New Roman" w:hAnsi="Times New Roman"/>
      <w:b/>
      <w:color w:val="000000" w:themeColor="text1"/>
    </w:rPr>
  </w:style>
  <w:style w:type="paragraph" w:styleId="Obinitekst">
    <w:name w:val="Plain Text"/>
    <w:basedOn w:val="Normal"/>
    <w:link w:val="ObinitekstChar"/>
    <w:uiPriority w:val="99"/>
    <w:rsid w:val="00B020E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B020E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B020E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B020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D73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7D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7D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7D8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7D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7D8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5B47-34D9-4E63-99E9-24B766E3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10204</Words>
  <Characters>58163</Characters>
  <Application>Microsoft Office Word</Application>
  <DocSecurity>0</DocSecurity>
  <Lines>484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Lišić</dc:creator>
  <cp:lastModifiedBy>Ivana Lišić</cp:lastModifiedBy>
  <cp:revision>2</cp:revision>
  <cp:lastPrinted>2021-03-01T06:55:00Z</cp:lastPrinted>
  <dcterms:created xsi:type="dcterms:W3CDTF">2021-03-05T10:39:00Z</dcterms:created>
  <dcterms:modified xsi:type="dcterms:W3CDTF">2021-03-05T10:39:00Z</dcterms:modified>
</cp:coreProperties>
</file>