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1FB5F590" w14:textId="77777777"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w:t>
      </w:r>
      <w:proofErr w:type="spellStart"/>
      <w:r w:rsidRPr="00D86CD1">
        <w:rPr>
          <w:b/>
        </w:rPr>
        <w:t>sheet</w:t>
      </w:r>
      <w:proofErr w:type="spellEnd"/>
      <w:r w:rsidRPr="00D86CD1">
        <w:rPr>
          <w:b/>
        </w:rPr>
        <w:t>) - ne razdvajati grupe i vrste radova na pojedine listove.</w:t>
      </w:r>
      <w:r w:rsidRPr="00D86CD1">
        <w:t xml:space="preserve"> </w:t>
      </w:r>
    </w:p>
    <w:p w14:paraId="229A54C7" w14:textId="77777777" w:rsidR="00D86CD1" w:rsidRPr="00D86CD1" w:rsidRDefault="00D86CD1" w:rsidP="003C5F97">
      <w:pPr>
        <w:pStyle w:val="Default"/>
        <w:spacing w:after="27"/>
        <w:jc w:val="both"/>
      </w:pPr>
    </w:p>
    <w:p w14:paraId="15B32A5E" w14:textId="77777777" w:rsidR="00D86CD1" w:rsidRPr="00D86CD1" w:rsidRDefault="00D86CD1" w:rsidP="003C5F97">
      <w:pPr>
        <w:pStyle w:val="Default"/>
        <w:jc w:val="both"/>
        <w:rPr>
          <w:b/>
        </w:rPr>
      </w:pPr>
      <w:r w:rsidRPr="00D86CD1">
        <w:rPr>
          <w:b/>
        </w:rPr>
        <w:t xml:space="preserve">2. Redoslijed stranica troškovnika (sadržaj): </w:t>
      </w:r>
    </w:p>
    <w:p w14:paraId="156D03FC" w14:textId="77777777"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123E97FE" w14:textId="77777777"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06599CA8" w14:textId="77777777"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36DB810B" w14:textId="77777777"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14:paraId="1DF25CB0" w14:textId="77777777"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14:paraId="75DA8FAB" w14:textId="77777777" w:rsidR="00D86CD1" w:rsidRPr="00D86CD1" w:rsidRDefault="00D86CD1" w:rsidP="003C5F97">
      <w:pPr>
        <w:pStyle w:val="Default"/>
        <w:jc w:val="both"/>
      </w:pPr>
      <w:r w:rsidRPr="00D86CD1">
        <w:t xml:space="preserve">(6) </w:t>
      </w:r>
      <w:r w:rsidRPr="00D86CD1">
        <w:rPr>
          <w:b/>
          <w:bCs/>
        </w:rPr>
        <w:t xml:space="preserve">rekapitulacija pojedine grupe radova </w:t>
      </w:r>
    </w:p>
    <w:p w14:paraId="5CC69B1D" w14:textId="77777777" w:rsidR="00D86CD1" w:rsidRPr="00D86CD1" w:rsidRDefault="00D86CD1" w:rsidP="003C5F97">
      <w:pPr>
        <w:pStyle w:val="Default"/>
        <w:jc w:val="both"/>
      </w:pPr>
    </w:p>
    <w:p w14:paraId="4A399B73" w14:textId="77777777" w:rsidR="00D86CD1" w:rsidRPr="00D86CD1" w:rsidRDefault="00D86CD1" w:rsidP="003C5F97">
      <w:pPr>
        <w:pStyle w:val="Default"/>
        <w:jc w:val="both"/>
        <w:rPr>
          <w:b/>
        </w:rPr>
      </w:pPr>
      <w:r w:rsidRPr="00D86CD1">
        <w:rPr>
          <w:b/>
        </w:rPr>
        <w:t xml:space="preserve">3.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break-ova',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14:paraId="543CC909" w14:textId="77777777"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Za složene troškovničke stavke, kao jedinica mjere dozvoljena je primjena pojma "komplet". Prilikom primjene pojma „komplet“ moguće je ili raščlaniti dijelove troškovničke stavke na podstavke ili bez ra</w:t>
      </w:r>
      <w:r w:rsidR="00D02778">
        <w:rPr>
          <w:rFonts w:ascii="Times New Roman" w:hAnsi="Times New Roman" w:cs="Times New Roman"/>
          <w:sz w:val="24"/>
          <w:szCs w:val="24"/>
        </w:rPr>
        <w:t>s</w:t>
      </w:r>
      <w:r w:rsidRPr="00D86CD1">
        <w:rPr>
          <w:rFonts w:ascii="Times New Roman" w:hAnsi="Times New Roman" w:cs="Times New Roman"/>
          <w:sz w:val="24"/>
          <w:szCs w:val="24"/>
        </w:rPr>
        <w:t>članjenja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Obratiti pažnju da ako je npr. navedena demontaža da je predviđen i odvoz otpada, ako je navedena montaža nove zamjenske opreme da se predvidi i demontaža postojeće, da je npr. kod montaže opreme uključen pričvrsni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w:t>
            </w:r>
            <w:proofErr w:type="spellStart"/>
            <w:r w:rsidRPr="00D86CD1">
              <w:t>Insulation</w:t>
            </w:r>
            <w:proofErr w:type="spellEnd"/>
            <w:r w:rsidRPr="00D86CD1">
              <w:t xml:space="preserve">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3C5F97"/>
    <w:rsid w:val="004614A7"/>
    <w:rsid w:val="0047460C"/>
    <w:rsid w:val="00A77BC1"/>
    <w:rsid w:val="00D02778"/>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2" ma:contentTypeDescription="Stvaranje novog dokumenta." ma:contentTypeScope="" ma:versionID="31b78adc96b37ce2afef567920a7a48f">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bc1ba5c28effd5244ffc7e6b150810c5"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C4288-640B-4576-8A15-6335208E8CBD}">
  <ds:schemaRefs>
    <ds:schemaRef ds:uri="http://schemas.microsoft.com/sharepoint/v3/contenttype/forms"/>
  </ds:schemaRefs>
</ds:datastoreItem>
</file>

<file path=customXml/itemProps3.xml><?xml version="1.0" encoding="utf-8"?>
<ds:datastoreItem xmlns:ds="http://schemas.openxmlformats.org/officeDocument/2006/customXml" ds:itemID="{2C831B30-3380-4984-8984-8B7C0A2AFE4C}"/>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3</cp:revision>
  <dcterms:created xsi:type="dcterms:W3CDTF">2021-02-25T06:38:00Z</dcterms:created>
  <dcterms:modified xsi:type="dcterms:W3CDTF">2021-07-16T08:44:00Z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ies>
</file>