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52"/>
        <w:gridCol w:w="5352"/>
      </w:tblGrid>
      <w:tr w:rsidR="00612AF9" w:rsidRPr="00C83FE2" w14:paraId="281DA166" w14:textId="77777777" w:rsidTr="00612AF9">
        <w:tc>
          <w:tcPr>
            <w:tcW w:w="5352" w:type="dxa"/>
          </w:tcPr>
          <w:p w14:paraId="0BC1948F" w14:textId="77777777" w:rsidR="00C45CB3" w:rsidRPr="00460B47" w:rsidRDefault="00C45CB3" w:rsidP="00336337">
            <w:pPr>
              <w:rPr>
                <w:sz w:val="28"/>
                <w:szCs w:val="28"/>
              </w:rPr>
            </w:pPr>
            <w:r w:rsidRPr="00460B47">
              <w:rPr>
                <w:sz w:val="28"/>
                <w:szCs w:val="28"/>
              </w:rPr>
              <w:t>REPUBLIKA HRVATSKA</w:t>
            </w:r>
          </w:p>
          <w:p w14:paraId="1C6CDFE2" w14:textId="77777777" w:rsidR="00C45CB3" w:rsidRPr="00460B47" w:rsidRDefault="00C45CB3" w:rsidP="00336337">
            <w:pPr>
              <w:rPr>
                <w:sz w:val="28"/>
                <w:szCs w:val="28"/>
              </w:rPr>
            </w:pPr>
            <w:r w:rsidRPr="00460B47">
              <w:rPr>
                <w:sz w:val="28"/>
                <w:szCs w:val="28"/>
              </w:rPr>
              <w:t>OSJEČKO-BARANJSKA ŽUPANIJA</w:t>
            </w:r>
          </w:p>
          <w:p w14:paraId="17D5A1D8" w14:textId="77777777" w:rsidR="00C45CB3" w:rsidRPr="00460B47" w:rsidRDefault="00C45CB3" w:rsidP="00336337">
            <w:pPr>
              <w:rPr>
                <w:sz w:val="28"/>
                <w:szCs w:val="28"/>
              </w:rPr>
            </w:pPr>
            <w:r w:rsidRPr="00460B47">
              <w:rPr>
                <w:sz w:val="28"/>
                <w:szCs w:val="28"/>
              </w:rPr>
              <w:t>GRAD OSIJEK</w:t>
            </w:r>
          </w:p>
          <w:p w14:paraId="79AE8C8B" w14:textId="77777777" w:rsidR="00C45CB3" w:rsidRPr="00460B47" w:rsidRDefault="00C45CB3" w:rsidP="00336337">
            <w:pPr>
              <w:rPr>
                <w:sz w:val="28"/>
                <w:szCs w:val="28"/>
              </w:rPr>
            </w:pPr>
          </w:p>
          <w:p w14:paraId="3852AFBA" w14:textId="77777777" w:rsidR="00612AF9" w:rsidRPr="00460B47" w:rsidRDefault="00612AF9" w:rsidP="00336337">
            <w:pPr>
              <w:rPr>
                <w:sz w:val="28"/>
                <w:szCs w:val="28"/>
              </w:rPr>
            </w:pPr>
            <w:r w:rsidRPr="00460B47">
              <w:rPr>
                <w:sz w:val="28"/>
                <w:szCs w:val="28"/>
              </w:rPr>
              <w:t>Matični broj: 02640651</w:t>
            </w:r>
          </w:p>
          <w:p w14:paraId="572C3687" w14:textId="77777777" w:rsidR="00612AF9" w:rsidRPr="00460B47" w:rsidRDefault="00612AF9" w:rsidP="00336337">
            <w:pPr>
              <w:rPr>
                <w:sz w:val="28"/>
                <w:szCs w:val="28"/>
              </w:rPr>
            </w:pPr>
            <w:r w:rsidRPr="00460B47">
              <w:rPr>
                <w:sz w:val="28"/>
                <w:szCs w:val="28"/>
              </w:rPr>
              <w:t>OIB: 30050049642</w:t>
            </w:r>
          </w:p>
          <w:p w14:paraId="5634CF94" w14:textId="77777777" w:rsidR="00612AF9" w:rsidRPr="00460B47" w:rsidRDefault="00C45CB3" w:rsidP="00336337">
            <w:pPr>
              <w:rPr>
                <w:sz w:val="28"/>
                <w:szCs w:val="28"/>
              </w:rPr>
            </w:pPr>
            <w:r w:rsidRPr="00460B47">
              <w:rPr>
                <w:sz w:val="28"/>
                <w:szCs w:val="28"/>
              </w:rPr>
              <w:t>Šifra djelatnosti</w:t>
            </w:r>
            <w:r w:rsidR="00612AF9" w:rsidRPr="00460B47">
              <w:rPr>
                <w:sz w:val="28"/>
                <w:szCs w:val="28"/>
              </w:rPr>
              <w:t>: 8411</w:t>
            </w:r>
          </w:p>
          <w:p w14:paraId="430C483E" w14:textId="77777777" w:rsidR="00612AF9" w:rsidRPr="00460B47" w:rsidRDefault="00612AF9" w:rsidP="00336337">
            <w:pPr>
              <w:rPr>
                <w:sz w:val="28"/>
                <w:szCs w:val="28"/>
              </w:rPr>
            </w:pPr>
            <w:r w:rsidRPr="00460B47">
              <w:rPr>
                <w:sz w:val="28"/>
                <w:szCs w:val="28"/>
              </w:rPr>
              <w:t>IBAN: HR50 23600001831200002</w:t>
            </w:r>
          </w:p>
          <w:p w14:paraId="493C4671" w14:textId="77777777" w:rsidR="00612AF9" w:rsidRPr="00C83FE2" w:rsidRDefault="00612AF9" w:rsidP="00336337">
            <w:pPr>
              <w:rPr>
                <w:sz w:val="28"/>
                <w:szCs w:val="28"/>
                <w:highlight w:val="yellow"/>
              </w:rPr>
            </w:pPr>
          </w:p>
          <w:p w14:paraId="286747AD" w14:textId="2570F19A" w:rsidR="00612AF9" w:rsidRPr="00C83FE2" w:rsidRDefault="00CD00CF" w:rsidP="001D2626">
            <w:pPr>
              <w:rPr>
                <w:sz w:val="28"/>
                <w:szCs w:val="28"/>
                <w:highlight w:val="yellow"/>
              </w:rPr>
            </w:pPr>
            <w:r w:rsidRPr="008A0A32">
              <w:rPr>
                <w:sz w:val="28"/>
                <w:szCs w:val="28"/>
              </w:rPr>
              <w:t xml:space="preserve">U Osijeku, </w:t>
            </w:r>
            <w:r w:rsidR="008A0A32" w:rsidRPr="008A0A32">
              <w:rPr>
                <w:sz w:val="28"/>
                <w:szCs w:val="28"/>
              </w:rPr>
              <w:t>28</w:t>
            </w:r>
            <w:r w:rsidR="00F364FC" w:rsidRPr="008A0A32">
              <w:rPr>
                <w:sz w:val="28"/>
                <w:szCs w:val="28"/>
              </w:rPr>
              <w:t>.0</w:t>
            </w:r>
            <w:r w:rsidR="008A0A32" w:rsidRPr="008A0A32">
              <w:rPr>
                <w:sz w:val="28"/>
                <w:szCs w:val="28"/>
              </w:rPr>
              <w:t>2</w:t>
            </w:r>
            <w:r w:rsidR="00F364FC" w:rsidRPr="008A0A32">
              <w:rPr>
                <w:sz w:val="28"/>
                <w:szCs w:val="28"/>
              </w:rPr>
              <w:t>.202</w:t>
            </w:r>
            <w:r w:rsidR="00C76475">
              <w:rPr>
                <w:sz w:val="28"/>
                <w:szCs w:val="28"/>
              </w:rPr>
              <w:t>3</w:t>
            </w:r>
            <w:r w:rsidR="00612AF9" w:rsidRPr="008A0A32">
              <w:rPr>
                <w:sz w:val="28"/>
                <w:szCs w:val="28"/>
              </w:rPr>
              <w:t>.</w:t>
            </w:r>
          </w:p>
        </w:tc>
        <w:tc>
          <w:tcPr>
            <w:tcW w:w="5352" w:type="dxa"/>
          </w:tcPr>
          <w:p w14:paraId="1D357D89" w14:textId="77777777" w:rsidR="00612AF9" w:rsidRPr="00C83FE2" w:rsidRDefault="00612AF9" w:rsidP="0033633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13C59B7A" w14:textId="77777777" w:rsidR="00D80E9F" w:rsidRPr="00C83FE2" w:rsidRDefault="00D80E9F" w:rsidP="00D80E9F">
      <w:pPr>
        <w:ind w:firstLine="851"/>
        <w:rPr>
          <w:sz w:val="28"/>
          <w:szCs w:val="28"/>
          <w:highlight w:val="yellow"/>
        </w:rPr>
      </w:pPr>
    </w:p>
    <w:p w14:paraId="1EEA4D7F" w14:textId="77777777" w:rsidR="00805F4C" w:rsidRPr="00C83FE2" w:rsidRDefault="00805F4C" w:rsidP="00D80E9F">
      <w:pPr>
        <w:ind w:firstLine="851"/>
        <w:rPr>
          <w:sz w:val="28"/>
          <w:szCs w:val="28"/>
          <w:highlight w:val="yellow"/>
        </w:rPr>
      </w:pPr>
    </w:p>
    <w:p w14:paraId="1DABC121" w14:textId="77777777" w:rsidR="00D80E9F" w:rsidRPr="00C83FE2" w:rsidRDefault="00D80E9F" w:rsidP="00D80E9F">
      <w:pPr>
        <w:ind w:firstLine="851"/>
        <w:rPr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D80E9F" w:rsidRPr="00C83FE2" w14:paraId="5C3A6C7F" w14:textId="77777777" w:rsidTr="00336337">
        <w:tc>
          <w:tcPr>
            <w:tcW w:w="9288" w:type="dxa"/>
          </w:tcPr>
          <w:p w14:paraId="611CC71C" w14:textId="77777777" w:rsidR="00D80E9F" w:rsidRPr="00865EC1" w:rsidRDefault="00203A20" w:rsidP="00336337">
            <w:pPr>
              <w:jc w:val="center"/>
              <w:rPr>
                <w:b/>
                <w:bCs/>
                <w:sz w:val="28"/>
                <w:szCs w:val="28"/>
              </w:rPr>
            </w:pPr>
            <w:r w:rsidRPr="00865EC1">
              <w:rPr>
                <w:b/>
                <w:bCs/>
                <w:sz w:val="28"/>
                <w:szCs w:val="28"/>
              </w:rPr>
              <w:t>BILJEŠKE UZ KONSOLIDIRANI</w:t>
            </w:r>
          </w:p>
          <w:p w14:paraId="280F58E3" w14:textId="77777777" w:rsidR="00D80E9F" w:rsidRPr="00865EC1" w:rsidRDefault="00D80E9F" w:rsidP="00336337">
            <w:pPr>
              <w:jc w:val="center"/>
              <w:rPr>
                <w:b/>
                <w:bCs/>
                <w:sz w:val="28"/>
                <w:szCs w:val="28"/>
              </w:rPr>
            </w:pPr>
            <w:r w:rsidRPr="00865EC1">
              <w:rPr>
                <w:b/>
                <w:bCs/>
                <w:sz w:val="28"/>
                <w:szCs w:val="28"/>
              </w:rPr>
              <w:t>FINANCIJSK</w:t>
            </w:r>
            <w:r w:rsidR="00203A20" w:rsidRPr="00865EC1">
              <w:rPr>
                <w:b/>
                <w:bCs/>
                <w:sz w:val="28"/>
                <w:szCs w:val="28"/>
              </w:rPr>
              <w:t>I</w:t>
            </w:r>
            <w:r w:rsidRPr="00865EC1">
              <w:rPr>
                <w:b/>
                <w:bCs/>
                <w:sz w:val="28"/>
                <w:szCs w:val="28"/>
              </w:rPr>
              <w:t xml:space="preserve"> IZVJEŠ</w:t>
            </w:r>
            <w:r w:rsidR="00203A20" w:rsidRPr="00865EC1">
              <w:rPr>
                <w:b/>
                <w:bCs/>
                <w:sz w:val="28"/>
                <w:szCs w:val="28"/>
              </w:rPr>
              <w:t>TAJ</w:t>
            </w:r>
            <w:r w:rsidRPr="00865EC1">
              <w:rPr>
                <w:b/>
                <w:bCs/>
                <w:sz w:val="28"/>
                <w:szCs w:val="28"/>
              </w:rPr>
              <w:t xml:space="preserve"> GRADA OSIJEKA</w:t>
            </w:r>
          </w:p>
          <w:p w14:paraId="6FD1BC87" w14:textId="0EFBC257" w:rsidR="00D80E9F" w:rsidRPr="00C83FE2" w:rsidRDefault="00D80E9F" w:rsidP="00F80FEB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865EC1">
              <w:rPr>
                <w:b/>
                <w:bCs/>
                <w:sz w:val="28"/>
                <w:szCs w:val="28"/>
              </w:rPr>
              <w:t xml:space="preserve">ZA RAZDOBLJE 0D </w:t>
            </w:r>
            <w:r w:rsidR="00F364FC" w:rsidRPr="00865EC1">
              <w:rPr>
                <w:b/>
                <w:bCs/>
                <w:sz w:val="28"/>
                <w:szCs w:val="28"/>
              </w:rPr>
              <w:t xml:space="preserve"> 1. SIJEČNJA DO 31.PROSINCA 20</w:t>
            </w:r>
            <w:r w:rsidR="00F80FEB" w:rsidRPr="00865EC1">
              <w:rPr>
                <w:b/>
                <w:bCs/>
                <w:sz w:val="28"/>
                <w:szCs w:val="28"/>
              </w:rPr>
              <w:t>2</w:t>
            </w:r>
            <w:r w:rsidR="00F740D3">
              <w:rPr>
                <w:b/>
                <w:bCs/>
                <w:sz w:val="28"/>
                <w:szCs w:val="28"/>
              </w:rPr>
              <w:t>2</w:t>
            </w:r>
            <w:r w:rsidRPr="00865EC1">
              <w:rPr>
                <w:b/>
                <w:bCs/>
                <w:sz w:val="28"/>
                <w:szCs w:val="28"/>
              </w:rPr>
              <w:t>. GODINE</w:t>
            </w:r>
          </w:p>
        </w:tc>
      </w:tr>
    </w:tbl>
    <w:p w14:paraId="48611BE1" w14:textId="77777777" w:rsidR="00D80E9F" w:rsidRPr="00C83FE2" w:rsidRDefault="00D80E9F" w:rsidP="00D80E9F">
      <w:pPr>
        <w:ind w:firstLine="851"/>
        <w:rPr>
          <w:sz w:val="28"/>
          <w:szCs w:val="28"/>
          <w:highlight w:val="yellow"/>
        </w:rPr>
      </w:pPr>
    </w:p>
    <w:p w14:paraId="5077551D" w14:textId="77777777" w:rsidR="00805F4C" w:rsidRPr="00590CB4" w:rsidRDefault="00805F4C" w:rsidP="00D80E9F">
      <w:pPr>
        <w:ind w:firstLine="851"/>
        <w:rPr>
          <w:sz w:val="28"/>
          <w:szCs w:val="28"/>
        </w:rPr>
      </w:pPr>
    </w:p>
    <w:p w14:paraId="0D09133A" w14:textId="2AFE1534" w:rsidR="00D80E9F" w:rsidRPr="00C83FE2" w:rsidRDefault="006D7D3A" w:rsidP="00D80E9F">
      <w:pPr>
        <w:ind w:firstLine="851"/>
        <w:jc w:val="both"/>
        <w:rPr>
          <w:highlight w:val="yellow"/>
        </w:rPr>
      </w:pPr>
      <w:r w:rsidRPr="00590CB4">
        <w:t xml:space="preserve">Konsolidirani </w:t>
      </w:r>
      <w:r w:rsidR="00F80FEB" w:rsidRPr="00590CB4">
        <w:t xml:space="preserve">financijski izvještaj Grada Osijeka sastavljen je  sukladno odredbama </w:t>
      </w:r>
      <w:r w:rsidR="004A73C9" w:rsidRPr="00E917D7">
        <w:t xml:space="preserve">Pravilnika o financijskom izvještavanju u proračunskom računovodstvu (Narodne novine broj </w:t>
      </w:r>
      <w:r w:rsidR="004A73C9">
        <w:t xml:space="preserve">37/22) </w:t>
      </w:r>
      <w:r w:rsidR="004A73C9" w:rsidRPr="00E917D7">
        <w:t>i Okružnice o sastavljanju, konsolidaciji i predaji financijskih izvještaja proračuna, proračunskih i izvanproračunskih korisnika državnog proračuna te proračunskih i izvanproračunskih korisnika proračuna jedinica lokalne i područne (regionalne) samouprave za razdoblje od 1. siječnja do 31. prosinca 202</w:t>
      </w:r>
      <w:r w:rsidR="004A73C9">
        <w:t>2</w:t>
      </w:r>
      <w:r w:rsidR="004A73C9" w:rsidRPr="00E917D7">
        <w:t>. (KLASA: 400-02/1-2</w:t>
      </w:r>
      <w:r w:rsidR="004A73C9">
        <w:t>2</w:t>
      </w:r>
      <w:r w:rsidR="004A73C9" w:rsidRPr="00E917D7">
        <w:t>/2</w:t>
      </w:r>
      <w:r w:rsidR="004A73C9">
        <w:t>6</w:t>
      </w:r>
      <w:r w:rsidR="004A73C9" w:rsidRPr="00E917D7">
        <w:t>, URBROJ: 513-05-03-2</w:t>
      </w:r>
      <w:r w:rsidR="004A73C9">
        <w:t>3</w:t>
      </w:r>
      <w:r w:rsidR="004A73C9" w:rsidRPr="00E917D7">
        <w:t>-</w:t>
      </w:r>
      <w:r w:rsidR="004A73C9">
        <w:t>6</w:t>
      </w:r>
      <w:r w:rsidR="004A73C9" w:rsidRPr="00E917D7">
        <w:t xml:space="preserve">) od </w:t>
      </w:r>
      <w:r w:rsidR="004A73C9">
        <w:t>13</w:t>
      </w:r>
      <w:r w:rsidR="004A73C9" w:rsidRPr="00E917D7">
        <w:t xml:space="preserve">. </w:t>
      </w:r>
      <w:r w:rsidR="004A73C9">
        <w:t>siječnja</w:t>
      </w:r>
      <w:r w:rsidR="004A73C9" w:rsidRPr="00E917D7">
        <w:t xml:space="preserve"> 202</w:t>
      </w:r>
      <w:r w:rsidR="004A73C9">
        <w:t>3</w:t>
      </w:r>
      <w:r w:rsidR="004A73C9" w:rsidRPr="00E917D7">
        <w:t xml:space="preserve">. </w:t>
      </w:r>
      <w:r w:rsidRPr="00B90B4A">
        <w:t>Konsolidirani f</w:t>
      </w:r>
      <w:r w:rsidR="00D80E9F" w:rsidRPr="00B90B4A">
        <w:t>inancijski izvještaj sastoji se od sljedećih obrazaca: Bilanca (Obrazac BIL), Izvještaj o pr</w:t>
      </w:r>
      <w:r w:rsidR="00E4108F">
        <w:t>i</w:t>
      </w:r>
      <w:r w:rsidR="00D80E9F" w:rsidRPr="00B90B4A">
        <w:t>hodima i rashodima, primicima i izdacima (Obrazac PR-RAS), Izvještaja o rashodima prema funkcijskoj klasifikaciji (Obrazac RAS-funkcijski), Izvještaja o promjenama u vrijednosti i obujmu imovine i obveza (Obrazac P-VRIO), Izvještaja o</w:t>
      </w:r>
      <w:r w:rsidR="000D27C8" w:rsidRPr="00B90B4A">
        <w:t xml:space="preserve"> obvezama (Obrazac OBVEZE) i Bil</w:t>
      </w:r>
      <w:r w:rsidR="00D80E9F" w:rsidRPr="00B90B4A">
        <w:t>ješki.</w:t>
      </w:r>
    </w:p>
    <w:p w14:paraId="30335BCF" w14:textId="77777777" w:rsidR="00D80E9F" w:rsidRPr="0099452E" w:rsidRDefault="00D80E9F" w:rsidP="00D80E9F">
      <w:pPr>
        <w:jc w:val="both"/>
      </w:pPr>
    </w:p>
    <w:p w14:paraId="3D55CF78" w14:textId="77777777" w:rsidR="00D80E9F" w:rsidRPr="0099452E" w:rsidRDefault="00D80E9F" w:rsidP="00D80E9F">
      <w:pPr>
        <w:jc w:val="both"/>
        <w:rPr>
          <w:iCs/>
        </w:rPr>
      </w:pPr>
      <w:r w:rsidRPr="0099452E">
        <w:tab/>
      </w:r>
      <w:r w:rsidRPr="0099452E">
        <w:rPr>
          <w:iCs/>
        </w:rPr>
        <w:t>Ovim izvještajem iskazani  su ukupni prihodi i primici, rashodi i izdaci Grada Osijeka i prihodi i primici, rashodi i izdaci proračunskih korisnika Grada Osijeka i to u dijelu koji se odnosi na financiranje iz Proračuna Grada Osijeka te vlastite prihode i ostale prihode  kao i rashode i</w:t>
      </w:r>
      <w:r w:rsidR="001E64A8" w:rsidRPr="0099452E">
        <w:rPr>
          <w:iCs/>
        </w:rPr>
        <w:t xml:space="preserve"> izdatke financirane iz istih, </w:t>
      </w:r>
      <w:r w:rsidRPr="0099452E">
        <w:rPr>
          <w:iCs/>
        </w:rPr>
        <w:t>stanje obveza kao i drugi traženi podaci vezani za Grad Osijek i proračunske korisnike Grada Osijeka.</w:t>
      </w:r>
    </w:p>
    <w:p w14:paraId="2004FC12" w14:textId="77777777" w:rsidR="00D80E9F" w:rsidRPr="00C83FE2" w:rsidRDefault="00D80E9F" w:rsidP="00D80E9F">
      <w:pPr>
        <w:jc w:val="both"/>
        <w:rPr>
          <w:iCs/>
          <w:highlight w:val="yellow"/>
        </w:rPr>
      </w:pPr>
    </w:p>
    <w:p w14:paraId="7A471155" w14:textId="77777777" w:rsidR="00D80E9F" w:rsidRPr="0099452E" w:rsidRDefault="001E64A8" w:rsidP="00D80E9F">
      <w:pPr>
        <w:jc w:val="both"/>
        <w:rPr>
          <w:iCs/>
        </w:rPr>
      </w:pPr>
      <w:r w:rsidRPr="0099452E">
        <w:rPr>
          <w:iCs/>
        </w:rPr>
        <w:tab/>
        <w:t>Izvještajem su obuhvaćeni sl</w:t>
      </w:r>
      <w:r w:rsidR="00D80E9F" w:rsidRPr="0099452E">
        <w:rPr>
          <w:iCs/>
        </w:rPr>
        <w:t>jedeći korisnici Proračuna Grada Osijeka</w:t>
      </w:r>
      <w:r w:rsidR="006D7D3A" w:rsidRPr="0099452E">
        <w:rPr>
          <w:iCs/>
        </w:rPr>
        <w:t xml:space="preserve"> navedeni u Registru proračunskih i izvanproračunskih korisnika</w:t>
      </w:r>
      <w:r w:rsidR="00D80E9F" w:rsidRPr="0099452E">
        <w:rPr>
          <w:iCs/>
        </w:rPr>
        <w:t>:</w:t>
      </w:r>
    </w:p>
    <w:p w14:paraId="1370DF12" w14:textId="77777777" w:rsidR="00D80E9F" w:rsidRPr="0099452E" w:rsidRDefault="00D80E9F" w:rsidP="00D80E9F">
      <w:pPr>
        <w:jc w:val="both"/>
        <w:rPr>
          <w:iCs/>
        </w:rPr>
      </w:pPr>
    </w:p>
    <w:p w14:paraId="6C2A6C4F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Hrvatsko narodno kazalište u Osijeku</w:t>
      </w:r>
    </w:p>
    <w:p w14:paraId="328A0A70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Dječje kazalište</w:t>
      </w:r>
      <w:r w:rsidR="00A24715" w:rsidRPr="0099452E">
        <w:rPr>
          <w:iCs/>
        </w:rPr>
        <w:t xml:space="preserve"> Branka Mihaljevića</w:t>
      </w:r>
      <w:r w:rsidRPr="0099452E">
        <w:rPr>
          <w:iCs/>
        </w:rPr>
        <w:t xml:space="preserve"> u Osijeku</w:t>
      </w:r>
    </w:p>
    <w:p w14:paraId="74BF285A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Dječji vrtić Osijek</w:t>
      </w:r>
    </w:p>
    <w:p w14:paraId="647BF157" w14:textId="76F0918B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Javna vatrogasna postrojba Grada Osijeka</w:t>
      </w:r>
    </w:p>
    <w:p w14:paraId="01E67F22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Gradske galerije Osijek</w:t>
      </w:r>
    </w:p>
    <w:p w14:paraId="02A7FDBE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lastRenderedPageBreak/>
        <w:t>OŠ Antun Mihanović</w:t>
      </w:r>
    </w:p>
    <w:p w14:paraId="01BE12F5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August Šenoa</w:t>
      </w:r>
    </w:p>
    <w:p w14:paraId="73E9FC90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Dobriše Cesarića</w:t>
      </w:r>
    </w:p>
    <w:p w14:paraId="728B2865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Grigor Vitez</w:t>
      </w:r>
    </w:p>
    <w:p w14:paraId="5F99AD24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Franjo Krežma</w:t>
      </w:r>
    </w:p>
    <w:p w14:paraId="2594210F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Ivan Filipović</w:t>
      </w:r>
    </w:p>
    <w:p w14:paraId="3EC51444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Ljudevit Gaj</w:t>
      </w:r>
    </w:p>
    <w:p w14:paraId="29A74A0C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 xml:space="preserve">OŠ </w:t>
      </w:r>
      <w:proofErr w:type="spellStart"/>
      <w:r w:rsidRPr="0099452E">
        <w:rPr>
          <w:iCs/>
        </w:rPr>
        <w:t>Fran</w:t>
      </w:r>
      <w:proofErr w:type="spellEnd"/>
      <w:r w:rsidRPr="0099452E">
        <w:rPr>
          <w:iCs/>
        </w:rPr>
        <w:t xml:space="preserve"> Krsto Frankopan</w:t>
      </w:r>
    </w:p>
    <w:p w14:paraId="11D083EE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Mladost</w:t>
      </w:r>
    </w:p>
    <w:p w14:paraId="07620593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Tenja</w:t>
      </w:r>
    </w:p>
    <w:p w14:paraId="567C9026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Vladimir Becić</w:t>
      </w:r>
    </w:p>
    <w:p w14:paraId="03B2E10B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 xml:space="preserve">OŠ Jagoda </w:t>
      </w:r>
      <w:proofErr w:type="spellStart"/>
      <w:r w:rsidRPr="0099452E">
        <w:rPr>
          <w:iCs/>
        </w:rPr>
        <w:t>Truhelka</w:t>
      </w:r>
      <w:proofErr w:type="spellEnd"/>
    </w:p>
    <w:p w14:paraId="0070114E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Josipovac</w:t>
      </w:r>
    </w:p>
    <w:p w14:paraId="66549A8D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Retfala</w:t>
      </w:r>
    </w:p>
    <w:p w14:paraId="56B9FC6C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Tin Ujević</w:t>
      </w:r>
    </w:p>
    <w:p w14:paraId="3815A170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Sveta Ana</w:t>
      </w:r>
    </w:p>
    <w:p w14:paraId="30DF163D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Vijenac</w:t>
      </w:r>
    </w:p>
    <w:p w14:paraId="7964DFBF" w14:textId="74CB565B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Višnjevac</w:t>
      </w:r>
    </w:p>
    <w:p w14:paraId="37BCC9A9" w14:textId="6B87C361" w:rsidR="0099452E" w:rsidRPr="0099452E" w:rsidRDefault="0099452E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OŠ Cvjetno</w:t>
      </w:r>
    </w:p>
    <w:p w14:paraId="2DE8AE6E" w14:textId="77777777" w:rsidR="00D80E9F" w:rsidRPr="0099452E" w:rsidRDefault="001E64A8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Prosvjetno-kulturni centar M</w:t>
      </w:r>
      <w:r w:rsidR="00D80E9F" w:rsidRPr="0099452E">
        <w:rPr>
          <w:iCs/>
        </w:rPr>
        <w:t>ađara u RH</w:t>
      </w:r>
    </w:p>
    <w:p w14:paraId="5278782B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Centar za odgoj i obrazovanje Ivan Štark</w:t>
      </w:r>
    </w:p>
    <w:p w14:paraId="72A6EB06" w14:textId="77777777" w:rsidR="00476C79" w:rsidRPr="0099452E" w:rsidRDefault="00476C79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Agencija za obnovu osječke Tvrđe</w:t>
      </w:r>
    </w:p>
    <w:p w14:paraId="08934A7B" w14:textId="77777777" w:rsidR="00476C79" w:rsidRPr="0099452E" w:rsidRDefault="00476C79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Kulturni centar Osijek</w:t>
      </w:r>
    </w:p>
    <w:p w14:paraId="159D098F" w14:textId="77777777" w:rsidR="00D80E9F" w:rsidRPr="0099452E" w:rsidRDefault="00D80E9F" w:rsidP="00D80E9F">
      <w:pPr>
        <w:numPr>
          <w:ilvl w:val="0"/>
          <w:numId w:val="1"/>
        </w:numPr>
        <w:jc w:val="both"/>
        <w:rPr>
          <w:iCs/>
        </w:rPr>
      </w:pPr>
      <w:r w:rsidRPr="0099452E">
        <w:rPr>
          <w:iCs/>
        </w:rPr>
        <w:t>Vijeća nacionalnih manjina Grada Osijeka</w:t>
      </w:r>
    </w:p>
    <w:p w14:paraId="44846141" w14:textId="77777777" w:rsidR="005A70CA" w:rsidRPr="00C83FE2" w:rsidRDefault="005A70CA" w:rsidP="005A70CA">
      <w:pPr>
        <w:jc w:val="both"/>
        <w:rPr>
          <w:iCs/>
          <w:highlight w:val="yellow"/>
        </w:rPr>
      </w:pPr>
    </w:p>
    <w:p w14:paraId="2593DE32" w14:textId="77777777" w:rsidR="00D80E9F" w:rsidRPr="00C83FE2" w:rsidRDefault="00D80E9F" w:rsidP="00D80E9F">
      <w:pPr>
        <w:ind w:firstLine="708"/>
        <w:jc w:val="both"/>
        <w:rPr>
          <w:iCs/>
          <w:highlight w:val="yellow"/>
        </w:rPr>
      </w:pPr>
    </w:p>
    <w:p w14:paraId="34BFE700" w14:textId="77777777" w:rsidR="00805F4C" w:rsidRPr="00C83FE2" w:rsidRDefault="00805F4C" w:rsidP="005A70CA">
      <w:pPr>
        <w:jc w:val="center"/>
        <w:rPr>
          <w:b/>
          <w:sz w:val="28"/>
          <w:szCs w:val="28"/>
          <w:highlight w:val="yellow"/>
        </w:rPr>
      </w:pPr>
      <w:r w:rsidRPr="00C83FE2">
        <w:rPr>
          <w:b/>
          <w:sz w:val="28"/>
          <w:szCs w:val="28"/>
          <w:highlight w:val="yellow"/>
        </w:rPr>
        <w:br w:type="page"/>
      </w:r>
    </w:p>
    <w:p w14:paraId="410DC5BD" w14:textId="77777777" w:rsidR="005A70CA" w:rsidRPr="00D47419" w:rsidRDefault="005A70CA" w:rsidP="005A70CA">
      <w:pPr>
        <w:jc w:val="center"/>
        <w:rPr>
          <w:b/>
          <w:sz w:val="28"/>
          <w:szCs w:val="28"/>
        </w:rPr>
      </w:pPr>
      <w:r w:rsidRPr="00D47419">
        <w:rPr>
          <w:b/>
          <w:sz w:val="28"/>
          <w:szCs w:val="28"/>
        </w:rPr>
        <w:lastRenderedPageBreak/>
        <w:t>BILJEŠKE UZ IZVJEŠTAJ O PRIHODIMA I RASHODIMA,</w:t>
      </w:r>
    </w:p>
    <w:p w14:paraId="4867BC3A" w14:textId="77777777" w:rsidR="005A70CA" w:rsidRPr="00D47419" w:rsidRDefault="005A70CA" w:rsidP="005A70CA">
      <w:pPr>
        <w:jc w:val="center"/>
        <w:rPr>
          <w:b/>
          <w:sz w:val="28"/>
          <w:szCs w:val="28"/>
        </w:rPr>
      </w:pPr>
      <w:r w:rsidRPr="00D47419">
        <w:rPr>
          <w:b/>
          <w:sz w:val="28"/>
          <w:szCs w:val="28"/>
        </w:rPr>
        <w:t>PRIMICIMA I IZDACIMA</w:t>
      </w:r>
    </w:p>
    <w:p w14:paraId="4EACCB5F" w14:textId="77777777" w:rsidR="005A70CA" w:rsidRPr="00C83FE2" w:rsidRDefault="005A70CA" w:rsidP="005A70CA">
      <w:pPr>
        <w:jc w:val="both"/>
        <w:rPr>
          <w:b/>
          <w:sz w:val="28"/>
          <w:szCs w:val="28"/>
          <w:highlight w:val="yellow"/>
        </w:rPr>
      </w:pPr>
    </w:p>
    <w:p w14:paraId="5602CE3B" w14:textId="77777777" w:rsidR="008F65E1" w:rsidRPr="00C83FE2" w:rsidRDefault="008F65E1" w:rsidP="005A70CA">
      <w:pPr>
        <w:jc w:val="both"/>
        <w:rPr>
          <w:b/>
          <w:sz w:val="28"/>
          <w:szCs w:val="28"/>
          <w:highlight w:val="yellow"/>
        </w:rPr>
      </w:pPr>
    </w:p>
    <w:p w14:paraId="44AE9BA7" w14:textId="77777777" w:rsidR="00D80E9F" w:rsidRPr="00D47419" w:rsidRDefault="00D80E9F" w:rsidP="00D80E9F">
      <w:pPr>
        <w:ind w:firstLine="708"/>
        <w:jc w:val="both"/>
        <w:rPr>
          <w:iCs/>
        </w:rPr>
      </w:pPr>
      <w:r w:rsidRPr="00D47419">
        <w:rPr>
          <w:iCs/>
        </w:rPr>
        <w:t>Zakonskim propisima regulirano je sudjelovanje jedinica lokalne samouprave u financiranju djelatnosti svojih  proračunskih korisnika.</w:t>
      </w:r>
    </w:p>
    <w:p w14:paraId="799636EC" w14:textId="77777777" w:rsidR="008F65E1" w:rsidRPr="00D47419" w:rsidRDefault="00DE7ADE" w:rsidP="008F65E1">
      <w:pPr>
        <w:ind w:firstLine="708"/>
        <w:jc w:val="both"/>
        <w:rPr>
          <w:iCs/>
        </w:rPr>
      </w:pPr>
      <w:r w:rsidRPr="00D47419">
        <w:rPr>
          <w:iCs/>
        </w:rPr>
        <w:t>Konsolidirani izvještaj sadrži sve prihode i primitke, rashode i izdatke Grada Osijeka i proračunskih korisnika Grada Osijeka, uključujući</w:t>
      </w:r>
      <w:r w:rsidR="008F65E1" w:rsidRPr="00D47419">
        <w:rPr>
          <w:iCs/>
        </w:rPr>
        <w:t xml:space="preserve"> prihod</w:t>
      </w:r>
      <w:r w:rsidRPr="00D47419">
        <w:rPr>
          <w:iCs/>
        </w:rPr>
        <w:t>e</w:t>
      </w:r>
      <w:r w:rsidR="008F65E1" w:rsidRPr="00D47419">
        <w:rPr>
          <w:iCs/>
        </w:rPr>
        <w:t xml:space="preserve"> od Ministarstva znanosti, obrazovanja i sporta za plaće i materijalne rashode osnovnih škola.</w:t>
      </w:r>
    </w:p>
    <w:p w14:paraId="12C5F319" w14:textId="77777777" w:rsidR="008F65E1" w:rsidRPr="00C83FE2" w:rsidRDefault="008F65E1" w:rsidP="00D80E9F">
      <w:pPr>
        <w:ind w:firstLine="708"/>
        <w:jc w:val="both"/>
        <w:rPr>
          <w:iCs/>
          <w:highlight w:val="yellow"/>
        </w:rPr>
      </w:pPr>
    </w:p>
    <w:p w14:paraId="4F0BC732" w14:textId="3A22B136" w:rsidR="008F65E1" w:rsidRPr="007868D6" w:rsidRDefault="00C12702" w:rsidP="00D80E9F">
      <w:pPr>
        <w:ind w:firstLine="708"/>
        <w:jc w:val="both"/>
        <w:rPr>
          <w:iCs/>
        </w:rPr>
      </w:pPr>
      <w:r w:rsidRPr="007868D6">
        <w:rPr>
          <w:iCs/>
        </w:rPr>
        <w:t>U nastavku dajemo usporedni pregled u</w:t>
      </w:r>
      <w:r w:rsidR="008F65E1" w:rsidRPr="007868D6">
        <w:rPr>
          <w:iCs/>
        </w:rPr>
        <w:t>kupno ostvareni</w:t>
      </w:r>
      <w:r w:rsidRPr="007868D6">
        <w:rPr>
          <w:iCs/>
        </w:rPr>
        <w:t>h</w:t>
      </w:r>
      <w:r w:rsidR="008F65E1" w:rsidRPr="007868D6">
        <w:rPr>
          <w:iCs/>
        </w:rPr>
        <w:t xml:space="preserve"> prihod</w:t>
      </w:r>
      <w:r w:rsidRPr="007868D6">
        <w:rPr>
          <w:iCs/>
        </w:rPr>
        <w:t>a</w:t>
      </w:r>
      <w:r w:rsidR="008F65E1" w:rsidRPr="007868D6">
        <w:rPr>
          <w:iCs/>
        </w:rPr>
        <w:t xml:space="preserve"> i primi</w:t>
      </w:r>
      <w:r w:rsidRPr="007868D6">
        <w:rPr>
          <w:iCs/>
        </w:rPr>
        <w:t>taka</w:t>
      </w:r>
      <w:r w:rsidR="008F65E1" w:rsidRPr="007868D6">
        <w:rPr>
          <w:iCs/>
        </w:rPr>
        <w:t xml:space="preserve"> te izv</w:t>
      </w:r>
      <w:r w:rsidR="009257D9" w:rsidRPr="007868D6">
        <w:rPr>
          <w:iCs/>
        </w:rPr>
        <w:t>ršeni</w:t>
      </w:r>
      <w:r w:rsidRPr="007868D6">
        <w:rPr>
          <w:iCs/>
        </w:rPr>
        <w:t>h</w:t>
      </w:r>
      <w:r w:rsidR="009257D9" w:rsidRPr="007868D6">
        <w:rPr>
          <w:iCs/>
        </w:rPr>
        <w:t xml:space="preserve"> rashod</w:t>
      </w:r>
      <w:r w:rsidRPr="007868D6">
        <w:rPr>
          <w:iCs/>
        </w:rPr>
        <w:t>a</w:t>
      </w:r>
      <w:r w:rsidR="009257D9" w:rsidRPr="007868D6">
        <w:rPr>
          <w:iCs/>
        </w:rPr>
        <w:t xml:space="preserve"> i izda</w:t>
      </w:r>
      <w:r w:rsidRPr="007868D6">
        <w:rPr>
          <w:iCs/>
        </w:rPr>
        <w:t>taka</w:t>
      </w:r>
      <w:r w:rsidR="009257D9" w:rsidRPr="007868D6">
        <w:rPr>
          <w:iCs/>
        </w:rPr>
        <w:t xml:space="preserve"> u</w:t>
      </w:r>
      <w:r w:rsidRPr="007868D6">
        <w:rPr>
          <w:iCs/>
        </w:rPr>
        <w:t xml:space="preserve"> 20</w:t>
      </w:r>
      <w:r w:rsidR="007868D6" w:rsidRPr="007868D6">
        <w:rPr>
          <w:iCs/>
        </w:rPr>
        <w:t>2</w:t>
      </w:r>
      <w:r w:rsidR="00657A93">
        <w:rPr>
          <w:iCs/>
        </w:rPr>
        <w:t>1</w:t>
      </w:r>
      <w:r w:rsidRPr="007868D6">
        <w:rPr>
          <w:iCs/>
        </w:rPr>
        <w:t>.</w:t>
      </w:r>
      <w:r w:rsidR="0056786C" w:rsidRPr="007868D6">
        <w:rPr>
          <w:iCs/>
        </w:rPr>
        <w:t xml:space="preserve"> </w:t>
      </w:r>
      <w:r w:rsidR="000D6AFC" w:rsidRPr="007868D6">
        <w:rPr>
          <w:iCs/>
        </w:rPr>
        <w:t xml:space="preserve">i </w:t>
      </w:r>
      <w:r w:rsidR="0056786C" w:rsidRPr="007868D6">
        <w:rPr>
          <w:iCs/>
        </w:rPr>
        <w:t>20</w:t>
      </w:r>
      <w:r w:rsidR="00DE7ADE" w:rsidRPr="007868D6">
        <w:rPr>
          <w:iCs/>
        </w:rPr>
        <w:t>2</w:t>
      </w:r>
      <w:r w:rsidR="00657A93">
        <w:rPr>
          <w:iCs/>
        </w:rPr>
        <w:t>2</w:t>
      </w:r>
      <w:r w:rsidR="0056786C" w:rsidRPr="007868D6">
        <w:rPr>
          <w:iCs/>
        </w:rPr>
        <w:t>.</w:t>
      </w:r>
      <w:r w:rsidR="008F65E1" w:rsidRPr="007868D6">
        <w:rPr>
          <w:iCs/>
        </w:rPr>
        <w:t>:</w:t>
      </w:r>
    </w:p>
    <w:p w14:paraId="11E59D16" w14:textId="77777777" w:rsidR="008F65E1" w:rsidRPr="00C83FE2" w:rsidRDefault="008F65E1" w:rsidP="00D80E9F">
      <w:pPr>
        <w:ind w:firstLine="708"/>
        <w:jc w:val="both"/>
        <w:rPr>
          <w:iCs/>
          <w:highlight w:val="yellow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5956"/>
        <w:gridCol w:w="1724"/>
        <w:gridCol w:w="1722"/>
      </w:tblGrid>
      <w:tr w:rsidR="00C8319A" w:rsidRPr="00C83FE2" w14:paraId="0E61535E" w14:textId="77777777" w:rsidTr="00C8319A">
        <w:trPr>
          <w:trHeight w:val="315"/>
        </w:trPr>
        <w:tc>
          <w:tcPr>
            <w:tcW w:w="31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81941" w14:textId="77777777" w:rsidR="00C8319A" w:rsidRPr="00C8319A" w:rsidRDefault="00C8319A" w:rsidP="00C831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8319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3C45450" w14:textId="18CD3EDE" w:rsidR="00C8319A" w:rsidRPr="008C4682" w:rsidRDefault="009B3957" w:rsidP="00C8319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2021.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8487299" w14:textId="48709CC6" w:rsidR="00C8319A" w:rsidRPr="008C4682" w:rsidRDefault="00C8319A" w:rsidP="00C8319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C468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202</w:t>
            </w:r>
            <w:r w:rsidR="00CF6C5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r w:rsidRPr="008C468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C8319A" w:rsidRPr="00C83FE2" w14:paraId="36AD361A" w14:textId="77777777" w:rsidTr="00C8319A">
        <w:trPr>
          <w:trHeight w:val="30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F352" w14:textId="77777777" w:rsidR="00C8319A" w:rsidRPr="00C8319A" w:rsidRDefault="00C8319A" w:rsidP="00C831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8319A">
              <w:rPr>
                <w:rFonts w:ascii="Calibri" w:hAnsi="Calibri"/>
                <w:color w:val="000000"/>
                <w:sz w:val="22"/>
                <w:szCs w:val="22"/>
              </w:rPr>
              <w:t>Prihodi poslovanja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5C5D8642" w14:textId="73C33E70" w:rsidR="00C8319A" w:rsidRPr="008C4682" w:rsidRDefault="009B3957" w:rsidP="00C831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4682">
              <w:rPr>
                <w:rFonts w:ascii="Calibri" w:hAnsi="Calibri"/>
                <w:color w:val="000000"/>
                <w:sz w:val="22"/>
                <w:szCs w:val="22"/>
              </w:rPr>
              <w:t>715.904.857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</w:tcPr>
          <w:p w14:paraId="2EBD7E90" w14:textId="75FF1547" w:rsidR="00C8319A" w:rsidRPr="008C4682" w:rsidRDefault="00C50B27" w:rsidP="00C831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824.186.685,33</w:t>
            </w:r>
          </w:p>
        </w:tc>
      </w:tr>
      <w:tr w:rsidR="00C8319A" w:rsidRPr="00C83FE2" w14:paraId="606D7322" w14:textId="77777777" w:rsidTr="00C8319A">
        <w:trPr>
          <w:trHeight w:val="30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4A7B" w14:textId="77777777" w:rsidR="00C8319A" w:rsidRPr="00C8319A" w:rsidRDefault="00C8319A" w:rsidP="00C831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8319A">
              <w:rPr>
                <w:rFonts w:ascii="Calibri" w:hAnsi="Calibri"/>
                <w:color w:val="000000"/>
                <w:sz w:val="22"/>
                <w:szCs w:val="22"/>
              </w:rPr>
              <w:t>Rashodi poslovanja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26FA15D1" w14:textId="25C78E96" w:rsidR="00C8319A" w:rsidRPr="008C4682" w:rsidRDefault="009B3957" w:rsidP="00C831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585.879.096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</w:tcPr>
          <w:p w14:paraId="5E32DDA2" w14:textId="624FDFA1" w:rsidR="00C8319A" w:rsidRPr="008C4682" w:rsidRDefault="00C50B27" w:rsidP="00C831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639.011.559,82</w:t>
            </w:r>
          </w:p>
        </w:tc>
      </w:tr>
      <w:tr w:rsidR="00C8319A" w:rsidRPr="00C83FE2" w14:paraId="3D7BFE05" w14:textId="77777777" w:rsidTr="00C8319A">
        <w:trPr>
          <w:trHeight w:val="315"/>
        </w:trPr>
        <w:tc>
          <w:tcPr>
            <w:tcW w:w="316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6C3AE" w14:textId="77777777" w:rsidR="00C8319A" w:rsidRPr="00C8319A" w:rsidRDefault="00C8319A" w:rsidP="00C831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8319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2593E2DC" w14:textId="5ADE0D0A" w:rsidR="00C8319A" w:rsidRPr="008C4682" w:rsidRDefault="009B3957" w:rsidP="00C8319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130</w:t>
            </w:r>
            <w:r w:rsidR="00C8319A" w:rsidRPr="008C468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025</w:t>
            </w:r>
            <w:r w:rsidR="00C8319A" w:rsidRPr="008C468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  <w:r w:rsidR="00CF6C5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761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79C60A09" w14:textId="34618E01" w:rsidR="00C8319A" w:rsidRPr="008C4682" w:rsidRDefault="00C50B27" w:rsidP="00C8319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185.175.125,51</w:t>
            </w:r>
          </w:p>
        </w:tc>
      </w:tr>
      <w:tr w:rsidR="00C8319A" w:rsidRPr="00C83FE2" w14:paraId="1D03363C" w14:textId="77777777" w:rsidTr="00C8319A">
        <w:trPr>
          <w:trHeight w:val="315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DE4E" w14:textId="77777777" w:rsidR="00C8319A" w:rsidRPr="00C8319A" w:rsidRDefault="00C8319A" w:rsidP="00C8319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3FB01887" w14:textId="77777777" w:rsidR="00C8319A" w:rsidRPr="00C83FE2" w:rsidRDefault="00C8319A" w:rsidP="00C8319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</w:tcPr>
          <w:p w14:paraId="3533BDC0" w14:textId="77777777" w:rsidR="00C8319A" w:rsidRPr="00C83FE2" w:rsidRDefault="00C8319A" w:rsidP="00C8319A">
            <w:pPr>
              <w:rPr>
                <w:sz w:val="20"/>
                <w:szCs w:val="20"/>
                <w:highlight w:val="yellow"/>
              </w:rPr>
            </w:pPr>
          </w:p>
        </w:tc>
      </w:tr>
      <w:tr w:rsidR="00C8319A" w:rsidRPr="006A2E6F" w14:paraId="50A93592" w14:textId="77777777" w:rsidTr="00C8319A">
        <w:trPr>
          <w:trHeight w:val="30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5A37" w14:textId="77777777" w:rsidR="00C8319A" w:rsidRPr="006A2E6F" w:rsidRDefault="00C8319A" w:rsidP="00C831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2E6F">
              <w:rPr>
                <w:rFonts w:ascii="Calibri" w:hAnsi="Calibri"/>
                <w:color w:val="000000"/>
                <w:sz w:val="22"/>
                <w:szCs w:val="22"/>
              </w:rPr>
              <w:t>Prihodi od nefinancijske imovine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4ED81AA2" w14:textId="71AD1DA4" w:rsidR="00C8319A" w:rsidRPr="006A2E6F" w:rsidRDefault="00CF6C50" w:rsidP="00C831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A2E6F">
              <w:rPr>
                <w:rFonts w:ascii="Calibri" w:hAnsi="Calibri"/>
                <w:color w:val="000000"/>
                <w:sz w:val="22"/>
                <w:szCs w:val="22"/>
              </w:rPr>
              <w:t>21.505.210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</w:tcPr>
          <w:p w14:paraId="385FDCDF" w14:textId="0938FBEF" w:rsidR="00C8319A" w:rsidRPr="006A2E6F" w:rsidRDefault="00C50B27" w:rsidP="00C831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19.243.010,23</w:t>
            </w:r>
          </w:p>
        </w:tc>
      </w:tr>
      <w:tr w:rsidR="00CF6C50" w:rsidRPr="006A2E6F" w14:paraId="26F1E6FF" w14:textId="77777777" w:rsidTr="00C8319A">
        <w:trPr>
          <w:trHeight w:val="30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04B9" w14:textId="77777777" w:rsidR="00CF6C50" w:rsidRPr="006A2E6F" w:rsidRDefault="00CF6C50" w:rsidP="00CF6C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2E6F">
              <w:rPr>
                <w:rFonts w:ascii="Calibri" w:hAnsi="Calibri"/>
                <w:color w:val="000000"/>
                <w:sz w:val="22"/>
                <w:szCs w:val="22"/>
              </w:rPr>
              <w:t>Rashodi od nefinancijske imovine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2C56B956" w14:textId="71C408EB" w:rsidR="00CF6C50" w:rsidRPr="006A2E6F" w:rsidRDefault="00CF6C50" w:rsidP="00CF6C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A2E6F">
              <w:rPr>
                <w:rFonts w:ascii="Calibri" w:hAnsi="Calibri"/>
                <w:color w:val="000000"/>
                <w:sz w:val="22"/>
                <w:szCs w:val="22"/>
              </w:rPr>
              <w:t>146.763.682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</w:tcPr>
          <w:p w14:paraId="631B3CA1" w14:textId="49B23DF9" w:rsidR="00CF6C50" w:rsidRPr="006A2E6F" w:rsidRDefault="00C50B27" w:rsidP="00CF6C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209.577.113,19</w:t>
            </w:r>
          </w:p>
        </w:tc>
      </w:tr>
      <w:tr w:rsidR="00CF6C50" w:rsidRPr="006A2E6F" w14:paraId="50F1D228" w14:textId="77777777" w:rsidTr="00C8319A">
        <w:trPr>
          <w:trHeight w:val="315"/>
        </w:trPr>
        <w:tc>
          <w:tcPr>
            <w:tcW w:w="316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79DCE" w14:textId="77777777" w:rsidR="00CF6C50" w:rsidRPr="006A2E6F" w:rsidRDefault="00CF6C50" w:rsidP="00CF6C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2E6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6240CCEC" w14:textId="35BBE36F" w:rsidR="00CF6C50" w:rsidRPr="006A2E6F" w:rsidRDefault="00322D79" w:rsidP="00CF6C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A2E6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-125.258.472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010C53A7" w14:textId="42573620" w:rsidR="00CF6C50" w:rsidRPr="006A2E6F" w:rsidRDefault="00C50B27" w:rsidP="00CF6C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-190.334.102,96</w:t>
            </w:r>
          </w:p>
        </w:tc>
      </w:tr>
      <w:tr w:rsidR="00CF6C50" w:rsidRPr="00C83FE2" w14:paraId="70F00860" w14:textId="77777777" w:rsidTr="00C8319A">
        <w:trPr>
          <w:trHeight w:val="315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33FA" w14:textId="77777777" w:rsidR="00CF6C50" w:rsidRPr="00C8319A" w:rsidRDefault="00CF6C50" w:rsidP="00CF6C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3032BFC2" w14:textId="77777777" w:rsidR="00CF6C50" w:rsidRPr="00C83FE2" w:rsidRDefault="00CF6C50" w:rsidP="00CF6C5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</w:tcPr>
          <w:p w14:paraId="1E63ACFC" w14:textId="77777777" w:rsidR="00CF6C50" w:rsidRPr="00C83FE2" w:rsidRDefault="00CF6C50" w:rsidP="00CF6C50">
            <w:pPr>
              <w:rPr>
                <w:sz w:val="20"/>
                <w:szCs w:val="20"/>
                <w:highlight w:val="yellow"/>
              </w:rPr>
            </w:pPr>
          </w:p>
        </w:tc>
      </w:tr>
      <w:tr w:rsidR="00CF6C50" w:rsidRPr="00783022" w14:paraId="22174EA7" w14:textId="77777777" w:rsidTr="00C8319A">
        <w:trPr>
          <w:trHeight w:val="315"/>
        </w:trPr>
        <w:tc>
          <w:tcPr>
            <w:tcW w:w="316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E39FE" w14:textId="77777777" w:rsidR="00CF6C50" w:rsidRPr="00783022" w:rsidRDefault="00CF6C50" w:rsidP="00CF6C5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302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Ukupan višak/manjak prihoda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7D670B47" w14:textId="660D657E" w:rsidR="00CF6C50" w:rsidRPr="00783022" w:rsidRDefault="00322D79" w:rsidP="00CF6C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4.767.289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42A3D460" w14:textId="7CE60DE9" w:rsidR="00CF6C50" w:rsidRPr="00783022" w:rsidRDefault="00C50B27" w:rsidP="00CF6C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5.158.977,45</w:t>
            </w:r>
          </w:p>
        </w:tc>
      </w:tr>
      <w:tr w:rsidR="00CF6C50" w:rsidRPr="00C83FE2" w14:paraId="3B991F9B" w14:textId="77777777" w:rsidTr="00C8319A">
        <w:trPr>
          <w:trHeight w:val="315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2618" w14:textId="77777777" w:rsidR="00CF6C50" w:rsidRPr="00C8319A" w:rsidRDefault="00CF6C50" w:rsidP="00CF6C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38402EBD" w14:textId="77777777" w:rsidR="00CF6C50" w:rsidRPr="00C83FE2" w:rsidRDefault="00CF6C50" w:rsidP="00CF6C5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</w:tcPr>
          <w:p w14:paraId="7B77BCF6" w14:textId="77777777" w:rsidR="00CF6C50" w:rsidRPr="00C83FE2" w:rsidRDefault="00CF6C50" w:rsidP="00CF6C50">
            <w:pPr>
              <w:rPr>
                <w:sz w:val="20"/>
                <w:szCs w:val="20"/>
                <w:highlight w:val="yellow"/>
              </w:rPr>
            </w:pPr>
          </w:p>
        </w:tc>
      </w:tr>
      <w:tr w:rsidR="00CF6C50" w:rsidRPr="006B38DC" w14:paraId="286778F7" w14:textId="77777777" w:rsidTr="00C8319A">
        <w:trPr>
          <w:trHeight w:val="30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490F" w14:textId="77777777" w:rsidR="00CF6C50" w:rsidRPr="006B38DC" w:rsidRDefault="00CF6C50" w:rsidP="00CF6C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B38DC">
              <w:rPr>
                <w:rFonts w:ascii="Calibri" w:hAnsi="Calibri"/>
                <w:color w:val="000000"/>
                <w:sz w:val="22"/>
                <w:szCs w:val="22"/>
              </w:rPr>
              <w:t>Primici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4B9CA1B0" w14:textId="467713F3" w:rsidR="00CF6C50" w:rsidRPr="006B38DC" w:rsidRDefault="00322D79" w:rsidP="00CF6C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8DC">
              <w:rPr>
                <w:rFonts w:ascii="Calibri" w:hAnsi="Calibri"/>
                <w:color w:val="000000"/>
                <w:sz w:val="22"/>
                <w:szCs w:val="22"/>
              </w:rPr>
              <w:t>32.894.132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</w:tcPr>
          <w:p w14:paraId="69E2446A" w14:textId="3422A3C2" w:rsidR="00CF6C50" w:rsidRPr="006B38DC" w:rsidRDefault="00C50B27" w:rsidP="00CF6C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185.542.394,23</w:t>
            </w:r>
          </w:p>
        </w:tc>
      </w:tr>
      <w:tr w:rsidR="00CF6C50" w:rsidRPr="006B38DC" w14:paraId="44DB95CB" w14:textId="77777777" w:rsidTr="00C8319A">
        <w:trPr>
          <w:trHeight w:val="30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6922" w14:textId="77777777" w:rsidR="00CF6C50" w:rsidRPr="006B38DC" w:rsidRDefault="00CF6C50" w:rsidP="00CF6C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B38DC">
              <w:rPr>
                <w:rFonts w:ascii="Calibri" w:hAnsi="Calibri"/>
                <w:color w:val="000000"/>
                <w:sz w:val="22"/>
                <w:szCs w:val="22"/>
              </w:rPr>
              <w:t>Izdaci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32E47BBD" w14:textId="6C735465" w:rsidR="00CF6C50" w:rsidRPr="006B38DC" w:rsidRDefault="00322D79" w:rsidP="00CF6C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38DC">
              <w:rPr>
                <w:rFonts w:ascii="Calibri" w:hAnsi="Calibri"/>
                <w:color w:val="000000"/>
                <w:sz w:val="22"/>
                <w:szCs w:val="22"/>
              </w:rPr>
              <w:t>28.836.020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</w:tcPr>
          <w:p w14:paraId="309AFCA8" w14:textId="2B7D4FFA" w:rsidR="00CF6C50" w:rsidRPr="006B38DC" w:rsidRDefault="00C50B27" w:rsidP="00CF6C5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135.973.466,82</w:t>
            </w:r>
          </w:p>
        </w:tc>
      </w:tr>
      <w:tr w:rsidR="00CF6C50" w:rsidRPr="006B38DC" w14:paraId="658FBF25" w14:textId="77777777" w:rsidTr="00C8319A">
        <w:trPr>
          <w:trHeight w:val="315"/>
        </w:trPr>
        <w:tc>
          <w:tcPr>
            <w:tcW w:w="316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E61A4" w14:textId="77777777" w:rsidR="00CF6C50" w:rsidRPr="006B38DC" w:rsidRDefault="00CF6C50" w:rsidP="00CF6C5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B38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Ukupan manjak/ višak primitaka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665B32B3" w14:textId="72FCCE5D" w:rsidR="00CF6C50" w:rsidRPr="006B38DC" w:rsidRDefault="00322D79" w:rsidP="00CF6C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B38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4.058.112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3BA289DD" w14:textId="4282F06A" w:rsidR="00CF6C50" w:rsidRPr="006B38DC" w:rsidRDefault="00C50B27" w:rsidP="00CF6C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49.568.927,41</w:t>
            </w:r>
          </w:p>
        </w:tc>
      </w:tr>
      <w:tr w:rsidR="00CF6C50" w:rsidRPr="00E0273F" w14:paraId="46BC4CC9" w14:textId="77777777" w:rsidTr="00C8319A">
        <w:trPr>
          <w:trHeight w:val="315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E2CE" w14:textId="77777777" w:rsidR="00CF6C50" w:rsidRPr="00E0273F" w:rsidRDefault="00CF6C50" w:rsidP="00CF6C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643D6F06" w14:textId="77777777" w:rsidR="00CF6C50" w:rsidRPr="00E0273F" w:rsidRDefault="00CF6C50" w:rsidP="00CF6C50">
            <w:pPr>
              <w:rPr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</w:tcPr>
          <w:p w14:paraId="582962B3" w14:textId="77777777" w:rsidR="00CF6C50" w:rsidRPr="00E0273F" w:rsidRDefault="00CF6C50" w:rsidP="00CF6C50">
            <w:pPr>
              <w:rPr>
                <w:sz w:val="20"/>
                <w:szCs w:val="20"/>
              </w:rPr>
            </w:pPr>
          </w:p>
        </w:tc>
      </w:tr>
      <w:tr w:rsidR="00CF6C50" w:rsidRPr="00E0273F" w14:paraId="46EFF217" w14:textId="77777777" w:rsidTr="00C8319A">
        <w:trPr>
          <w:trHeight w:val="315"/>
        </w:trPr>
        <w:tc>
          <w:tcPr>
            <w:tcW w:w="316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A9A1B" w14:textId="77777777" w:rsidR="00CF6C50" w:rsidRPr="00E0273F" w:rsidRDefault="00CF6C50" w:rsidP="00CF6C5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0273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Višak prihoda i primitaka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25087423" w14:textId="7FDC9ECD" w:rsidR="00CF6C50" w:rsidRPr="00E0273F" w:rsidRDefault="00322D79" w:rsidP="00CF6C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8.825.401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24BECDF5" w14:textId="13E0E7AA" w:rsidR="00CF6C50" w:rsidRPr="00E0273F" w:rsidRDefault="00D1152D" w:rsidP="00CF6C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44.409.949,96</w:t>
            </w:r>
          </w:p>
        </w:tc>
      </w:tr>
      <w:tr w:rsidR="00CF6C50" w:rsidRPr="00C83FE2" w14:paraId="50179012" w14:textId="77777777" w:rsidTr="00C8319A">
        <w:trPr>
          <w:trHeight w:val="315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3E22" w14:textId="77777777" w:rsidR="00CF6C50" w:rsidRPr="00C8319A" w:rsidRDefault="00CF6C50" w:rsidP="00CF6C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4E615F47" w14:textId="77777777" w:rsidR="00CF6C50" w:rsidRPr="00C83FE2" w:rsidRDefault="00CF6C50" w:rsidP="00CF6C5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</w:tcPr>
          <w:p w14:paraId="6816DC8A" w14:textId="77777777" w:rsidR="00CF6C50" w:rsidRPr="00C83FE2" w:rsidRDefault="00CF6C50" w:rsidP="00CF6C50">
            <w:pPr>
              <w:rPr>
                <w:sz w:val="20"/>
                <w:szCs w:val="20"/>
                <w:highlight w:val="yellow"/>
              </w:rPr>
            </w:pPr>
          </w:p>
        </w:tc>
      </w:tr>
      <w:tr w:rsidR="00CF6C50" w:rsidRPr="00C83FE2" w14:paraId="72608F85" w14:textId="77777777" w:rsidTr="00C8319A">
        <w:trPr>
          <w:trHeight w:val="300"/>
        </w:trPr>
        <w:tc>
          <w:tcPr>
            <w:tcW w:w="3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ED8A2" w14:textId="77777777" w:rsidR="00CF6C50" w:rsidRPr="00C8319A" w:rsidRDefault="00CF6C50" w:rsidP="00CF6C5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8319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Preneseni manjak/ višak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BF6FC" w14:textId="77777777" w:rsidR="00CF6C50" w:rsidRPr="00165CAC" w:rsidRDefault="00CF6C50" w:rsidP="00D1152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299D4ABB" w14:textId="0A3C9B0F" w:rsidR="00CF6C50" w:rsidRPr="00165CAC" w:rsidRDefault="00322D79" w:rsidP="00D1152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</w:t>
            </w:r>
            <w:r w:rsidR="00CF6C50" w:rsidRPr="00165C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680</w:t>
            </w:r>
            <w:r w:rsidR="00CF6C50" w:rsidRPr="00165C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947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1482B6" w14:textId="77777777" w:rsidR="00CF6C50" w:rsidRPr="00165CAC" w:rsidRDefault="00CF6C50" w:rsidP="00D1152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564A104F" w14:textId="36B486B1" w:rsidR="00CF6C50" w:rsidRPr="00165CAC" w:rsidRDefault="00D1152D" w:rsidP="00D1152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39.566.215,08</w:t>
            </w:r>
          </w:p>
        </w:tc>
      </w:tr>
      <w:tr w:rsidR="00CF6C50" w:rsidRPr="00C83FE2" w14:paraId="254CBAD1" w14:textId="77777777" w:rsidTr="00C8319A">
        <w:trPr>
          <w:trHeight w:val="300"/>
        </w:trPr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E5F0" w14:textId="77777777" w:rsidR="00CF6C50" w:rsidRPr="00C8319A" w:rsidRDefault="00CF6C50" w:rsidP="00CF6C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</w:tcPr>
          <w:p w14:paraId="5CA41328" w14:textId="77777777" w:rsidR="00CF6C50" w:rsidRPr="00C83FE2" w:rsidRDefault="00CF6C50" w:rsidP="00CF6C5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</w:tcPr>
          <w:p w14:paraId="73DDF6AA" w14:textId="77777777" w:rsidR="00CF6C50" w:rsidRPr="00C83FE2" w:rsidRDefault="00CF6C50" w:rsidP="00CF6C50">
            <w:pPr>
              <w:rPr>
                <w:sz w:val="20"/>
                <w:szCs w:val="20"/>
                <w:highlight w:val="yellow"/>
              </w:rPr>
            </w:pPr>
          </w:p>
        </w:tc>
      </w:tr>
      <w:tr w:rsidR="00CF6C50" w:rsidRPr="0088564B" w14:paraId="7CE5F666" w14:textId="77777777" w:rsidTr="00C8319A">
        <w:trPr>
          <w:trHeight w:val="315"/>
        </w:trPr>
        <w:tc>
          <w:tcPr>
            <w:tcW w:w="316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79C80" w14:textId="77777777" w:rsidR="00CF6C50" w:rsidRPr="0088564B" w:rsidRDefault="00CF6C50" w:rsidP="00CF6C5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8564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Manjak/ višak prihoda raspoloživ u sljedećem razdoblju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53264E7C" w14:textId="273F419E" w:rsidR="00CF6C50" w:rsidRPr="0088564B" w:rsidRDefault="00322D79" w:rsidP="00CF6C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</w:t>
            </w:r>
            <w:r w:rsidR="00CF6C50" w:rsidRPr="0088564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506</w:t>
            </w:r>
            <w:r w:rsidR="00CF6C50" w:rsidRPr="0088564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  <w:r w:rsidR="00657A9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348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7ABE984F" w14:textId="73A9ACAA" w:rsidR="00CF6C50" w:rsidRPr="0088564B" w:rsidRDefault="00D1152D" w:rsidP="00CF6C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83.976.165,04</w:t>
            </w:r>
          </w:p>
        </w:tc>
      </w:tr>
    </w:tbl>
    <w:p w14:paraId="1D2A8FE2" w14:textId="77777777" w:rsidR="008F65E1" w:rsidRPr="00C83FE2" w:rsidRDefault="008F65E1" w:rsidP="00D80E9F">
      <w:pPr>
        <w:ind w:firstLine="708"/>
        <w:jc w:val="both"/>
        <w:rPr>
          <w:iCs/>
          <w:highlight w:val="yellow"/>
        </w:rPr>
      </w:pPr>
    </w:p>
    <w:p w14:paraId="04DE8914" w14:textId="77777777" w:rsidR="008F65E1" w:rsidRPr="00C83FE2" w:rsidRDefault="008F65E1" w:rsidP="00D80E9F">
      <w:pPr>
        <w:ind w:firstLine="708"/>
        <w:jc w:val="both"/>
        <w:rPr>
          <w:iCs/>
          <w:highlight w:val="yellow"/>
        </w:rPr>
      </w:pPr>
    </w:p>
    <w:p w14:paraId="6B8891AA" w14:textId="4F51F702" w:rsidR="00263409" w:rsidRPr="00690250" w:rsidRDefault="00263409" w:rsidP="00690250">
      <w:pPr>
        <w:ind w:firstLine="708"/>
        <w:jc w:val="both"/>
        <w:rPr>
          <w:iCs/>
        </w:rPr>
      </w:pPr>
      <w:r w:rsidRPr="00C83FE2">
        <w:rPr>
          <w:iCs/>
          <w:highlight w:val="yellow"/>
        </w:rPr>
        <w:br w:type="page"/>
      </w:r>
    </w:p>
    <w:p w14:paraId="71491067" w14:textId="77777777" w:rsidR="00263409" w:rsidRPr="006A0C45" w:rsidRDefault="00263409" w:rsidP="00357DC0">
      <w:pPr>
        <w:ind w:firstLine="708"/>
        <w:jc w:val="both"/>
        <w:rPr>
          <w:b/>
          <w:iCs/>
        </w:rPr>
      </w:pPr>
      <w:r w:rsidRPr="006A0C45">
        <w:rPr>
          <w:b/>
          <w:iCs/>
        </w:rPr>
        <w:lastRenderedPageBreak/>
        <w:t>Prihodi poslovanja</w:t>
      </w:r>
    </w:p>
    <w:p w14:paraId="1B07441E" w14:textId="77777777" w:rsidR="00263409" w:rsidRPr="00C83FE2" w:rsidRDefault="00263409" w:rsidP="00357DC0">
      <w:pPr>
        <w:ind w:firstLine="708"/>
        <w:jc w:val="both"/>
        <w:rPr>
          <w:iCs/>
          <w:highlight w:val="yellow"/>
        </w:rPr>
      </w:pPr>
    </w:p>
    <w:p w14:paraId="00CD00C1" w14:textId="0E8F644E" w:rsidR="00F328F5" w:rsidRPr="00C83FE2" w:rsidRDefault="00F328F5" w:rsidP="00357DC0">
      <w:pPr>
        <w:ind w:firstLine="708"/>
        <w:jc w:val="both"/>
        <w:rPr>
          <w:iCs/>
          <w:highlight w:val="yellow"/>
        </w:rPr>
      </w:pPr>
      <w:r w:rsidRPr="006A0C45">
        <w:rPr>
          <w:iCs/>
        </w:rPr>
        <w:t xml:space="preserve">U odnosu na razinu 22, prihodi i rashodi proračunskih korisnika koji se dodaju u postupku </w:t>
      </w:r>
      <w:r w:rsidRPr="00765049">
        <w:rPr>
          <w:iCs/>
        </w:rPr>
        <w:t>konsolidacije najvećim dijelom su upravo prihodi i rashodi poslovanja.</w:t>
      </w:r>
      <w:r w:rsidR="00357DC0" w:rsidRPr="00765049">
        <w:rPr>
          <w:iCs/>
        </w:rPr>
        <w:t xml:space="preserve"> </w:t>
      </w:r>
      <w:r w:rsidR="00D72F5A" w:rsidRPr="00765049">
        <w:rPr>
          <w:iCs/>
        </w:rPr>
        <w:t>Prihodi poslovanja u 20</w:t>
      </w:r>
      <w:r w:rsidR="009371F5">
        <w:rPr>
          <w:iCs/>
        </w:rPr>
        <w:t>22</w:t>
      </w:r>
      <w:r w:rsidR="00D72F5A" w:rsidRPr="00765049">
        <w:rPr>
          <w:iCs/>
        </w:rPr>
        <w:t>.</w:t>
      </w:r>
      <w:r w:rsidR="00D47419" w:rsidRPr="00765049">
        <w:rPr>
          <w:iCs/>
        </w:rPr>
        <w:t xml:space="preserve"> </w:t>
      </w:r>
      <w:r w:rsidR="009479A0" w:rsidRPr="00765049">
        <w:rPr>
          <w:iCs/>
        </w:rPr>
        <w:t xml:space="preserve">ostvareni su sa </w:t>
      </w:r>
      <w:r w:rsidR="00D1152D">
        <w:rPr>
          <w:iCs/>
        </w:rPr>
        <w:t>824</w:t>
      </w:r>
      <w:r w:rsidR="0068669D">
        <w:rPr>
          <w:iCs/>
        </w:rPr>
        <w:t>.</w:t>
      </w:r>
      <w:r w:rsidR="00D1152D">
        <w:rPr>
          <w:iCs/>
        </w:rPr>
        <w:t>186</w:t>
      </w:r>
      <w:r w:rsidR="0068669D">
        <w:rPr>
          <w:iCs/>
        </w:rPr>
        <w:t>.</w:t>
      </w:r>
      <w:r w:rsidR="00D1152D">
        <w:rPr>
          <w:iCs/>
        </w:rPr>
        <w:t>685</w:t>
      </w:r>
      <w:r w:rsidR="0068669D">
        <w:rPr>
          <w:iCs/>
        </w:rPr>
        <w:t>,</w:t>
      </w:r>
      <w:r w:rsidR="00060765">
        <w:rPr>
          <w:iCs/>
        </w:rPr>
        <w:t>33</w:t>
      </w:r>
      <w:r w:rsidR="00D72F5A" w:rsidRPr="00765049">
        <w:rPr>
          <w:iCs/>
        </w:rPr>
        <w:t xml:space="preserve"> kn što je za </w:t>
      </w:r>
      <w:r w:rsidR="00082226">
        <w:rPr>
          <w:iCs/>
        </w:rPr>
        <w:t>1</w:t>
      </w:r>
      <w:r w:rsidR="00D1152D">
        <w:rPr>
          <w:iCs/>
        </w:rPr>
        <w:t>0</w:t>
      </w:r>
      <w:r w:rsidR="00082226">
        <w:rPr>
          <w:iCs/>
        </w:rPr>
        <w:t>8.</w:t>
      </w:r>
      <w:r w:rsidR="00D1152D">
        <w:rPr>
          <w:iCs/>
        </w:rPr>
        <w:t>281</w:t>
      </w:r>
      <w:r w:rsidR="00082226">
        <w:rPr>
          <w:iCs/>
        </w:rPr>
        <w:t>.</w:t>
      </w:r>
      <w:r w:rsidR="00D1152D">
        <w:rPr>
          <w:iCs/>
        </w:rPr>
        <w:t>828</w:t>
      </w:r>
      <w:r w:rsidR="00082226">
        <w:rPr>
          <w:iCs/>
        </w:rPr>
        <w:t>,</w:t>
      </w:r>
      <w:r w:rsidR="00D1152D">
        <w:rPr>
          <w:iCs/>
        </w:rPr>
        <w:t>33</w:t>
      </w:r>
      <w:r w:rsidR="00D72F5A" w:rsidRPr="00765049">
        <w:rPr>
          <w:iCs/>
        </w:rPr>
        <w:t xml:space="preserve"> kn </w:t>
      </w:r>
      <w:r w:rsidR="00D1152D">
        <w:rPr>
          <w:iCs/>
        </w:rPr>
        <w:t>više</w:t>
      </w:r>
      <w:r w:rsidR="00D72F5A" w:rsidRPr="00765049">
        <w:rPr>
          <w:iCs/>
        </w:rPr>
        <w:t xml:space="preserve"> u odnosu na 20</w:t>
      </w:r>
      <w:r w:rsidR="00B80160" w:rsidRPr="00765049">
        <w:rPr>
          <w:iCs/>
        </w:rPr>
        <w:t>2</w:t>
      </w:r>
      <w:r w:rsidR="009371F5">
        <w:rPr>
          <w:iCs/>
        </w:rPr>
        <w:t>1</w:t>
      </w:r>
      <w:r w:rsidRPr="00765049">
        <w:rPr>
          <w:iCs/>
        </w:rPr>
        <w:t>.</w:t>
      </w:r>
    </w:p>
    <w:p w14:paraId="53A29506" w14:textId="77777777" w:rsidR="00F328F5" w:rsidRPr="00C83FE2" w:rsidRDefault="00F328F5" w:rsidP="00F328F5">
      <w:pPr>
        <w:ind w:firstLine="708"/>
        <w:jc w:val="both"/>
        <w:rPr>
          <w:iCs/>
          <w:highlight w:val="yellow"/>
        </w:rPr>
      </w:pPr>
    </w:p>
    <w:p w14:paraId="4766BC1E" w14:textId="63BFBB17" w:rsidR="00765049" w:rsidRDefault="00F328F5" w:rsidP="00A62B63">
      <w:pPr>
        <w:ind w:firstLine="708"/>
        <w:jc w:val="both"/>
        <w:rPr>
          <w:iCs/>
        </w:rPr>
      </w:pPr>
      <w:r w:rsidRPr="00765049">
        <w:rPr>
          <w:iCs/>
        </w:rPr>
        <w:t>Pregled prihoda poslovanja Gr</w:t>
      </w:r>
      <w:r w:rsidR="00560DA1" w:rsidRPr="00765049">
        <w:rPr>
          <w:iCs/>
        </w:rPr>
        <w:t>ada i proračunskih korisnika</w:t>
      </w:r>
      <w:r w:rsidR="000D72D1" w:rsidRPr="00765049">
        <w:rPr>
          <w:iCs/>
        </w:rPr>
        <w:t xml:space="preserve"> u 202</w:t>
      </w:r>
      <w:r w:rsidR="009371F5">
        <w:rPr>
          <w:iCs/>
        </w:rPr>
        <w:t>2</w:t>
      </w:r>
      <w:r w:rsidR="000D72D1" w:rsidRPr="00765049">
        <w:rPr>
          <w:iCs/>
        </w:rPr>
        <w:t>.</w:t>
      </w:r>
      <w:r w:rsidR="00560DA1" w:rsidRPr="00765049">
        <w:rPr>
          <w:iCs/>
        </w:rPr>
        <w:t xml:space="preserve"> dan je u nastavku: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61"/>
        <w:gridCol w:w="2343"/>
      </w:tblGrid>
      <w:tr w:rsidR="00D1152D" w:rsidRPr="00A62B63" w14:paraId="41E2E6FA" w14:textId="77777777" w:rsidTr="00AD260D">
        <w:trPr>
          <w:trHeight w:val="615"/>
        </w:trPr>
        <w:tc>
          <w:tcPr>
            <w:tcW w:w="37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A1236" w14:textId="77777777" w:rsidR="00D1152D" w:rsidRPr="00A62B63" w:rsidRDefault="00D1152D" w:rsidP="00AD26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Razred 6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697CBB" w14:textId="77777777" w:rsidR="00D1152D" w:rsidRPr="00A62B63" w:rsidRDefault="00D1152D" w:rsidP="00AD26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31.12.202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Pr="00A62B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A62B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HRK</w:t>
            </w:r>
          </w:p>
        </w:tc>
      </w:tr>
      <w:tr w:rsidR="00D1152D" w:rsidRPr="00A62B63" w14:paraId="30EC797E" w14:textId="77777777" w:rsidTr="00AD260D">
        <w:trPr>
          <w:trHeight w:val="300"/>
        </w:trPr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E4E1" w14:textId="77777777" w:rsidR="00D1152D" w:rsidRPr="00A62B63" w:rsidRDefault="00D1152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Grad Osijek (uključujući vijeća nacionalnih manjina)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6055" w14:textId="77777777" w:rsidR="00D1152D" w:rsidRPr="00A62B63" w:rsidRDefault="00D1152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597.696.475,66</w:t>
            </w:r>
          </w:p>
        </w:tc>
      </w:tr>
      <w:tr w:rsidR="00D1152D" w:rsidRPr="00A62B63" w14:paraId="7B3AE4D8" w14:textId="77777777" w:rsidTr="00AD260D">
        <w:trPr>
          <w:trHeight w:val="300"/>
        </w:trPr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9DBA" w14:textId="77777777" w:rsidR="00D1152D" w:rsidRPr="00A62B63" w:rsidRDefault="00D1152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Hrvatsko narodno kazalište u Osijeku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8E94B" w14:textId="77777777" w:rsidR="00D1152D" w:rsidRPr="00A62B63" w:rsidRDefault="00D1152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32.689.351,27</w:t>
            </w:r>
          </w:p>
        </w:tc>
      </w:tr>
      <w:tr w:rsidR="00D1152D" w:rsidRPr="00A62B63" w14:paraId="1FD9D019" w14:textId="77777777" w:rsidTr="00AD260D">
        <w:trPr>
          <w:trHeight w:val="300"/>
        </w:trPr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2363" w14:textId="77777777" w:rsidR="00D1152D" w:rsidRPr="00A62B63" w:rsidRDefault="00D1152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Dječje kazalište Branka Mihaljevića u Osijeku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C5C9E" w14:textId="77777777" w:rsidR="00D1152D" w:rsidRPr="00A62B63" w:rsidRDefault="00D1152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6.743.508,62</w:t>
            </w:r>
          </w:p>
        </w:tc>
      </w:tr>
      <w:tr w:rsidR="00D1152D" w:rsidRPr="00A62B63" w14:paraId="07EEB4B3" w14:textId="77777777" w:rsidTr="00AD260D">
        <w:trPr>
          <w:trHeight w:val="300"/>
        </w:trPr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1197D" w14:textId="77777777" w:rsidR="00D1152D" w:rsidRPr="00A62B63" w:rsidRDefault="00D1152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Gradske galerije Osijek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920C" w14:textId="77777777" w:rsidR="00D1152D" w:rsidRPr="00A62B63" w:rsidRDefault="00D1152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1.168.401,25</w:t>
            </w:r>
          </w:p>
        </w:tc>
      </w:tr>
      <w:tr w:rsidR="00D1152D" w:rsidRPr="00A62B63" w14:paraId="19DB4D33" w14:textId="77777777" w:rsidTr="00AD260D">
        <w:trPr>
          <w:trHeight w:val="300"/>
        </w:trPr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F571" w14:textId="77777777" w:rsidR="00D1152D" w:rsidRPr="00A62B63" w:rsidRDefault="00D1152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Dječji vrtić Osijek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D5A8" w14:textId="77777777" w:rsidR="00D1152D" w:rsidRPr="00A62B63" w:rsidRDefault="00D1152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70.971.311,61</w:t>
            </w:r>
          </w:p>
        </w:tc>
      </w:tr>
      <w:tr w:rsidR="00D1152D" w:rsidRPr="00A62B63" w14:paraId="3B49F2C5" w14:textId="77777777" w:rsidTr="00AD260D">
        <w:trPr>
          <w:trHeight w:val="300"/>
        </w:trPr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55BA" w14:textId="77777777" w:rsidR="00D1152D" w:rsidRPr="00A62B63" w:rsidRDefault="00D1152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Javna vatrogasna postrojba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7CE4" w14:textId="77777777" w:rsidR="00D1152D" w:rsidRPr="00A62B63" w:rsidRDefault="00D1152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18.373.771,00</w:t>
            </w:r>
          </w:p>
        </w:tc>
      </w:tr>
      <w:tr w:rsidR="00D1152D" w:rsidRPr="00A62B63" w14:paraId="78A52608" w14:textId="77777777" w:rsidTr="00AD260D">
        <w:trPr>
          <w:trHeight w:val="300"/>
        </w:trPr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35565" w14:textId="77777777" w:rsidR="00D1152D" w:rsidRPr="00A62B63" w:rsidRDefault="00D1152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Agencija za obnovu osječke Tvrđe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FD7C2" w14:textId="77777777" w:rsidR="00D1152D" w:rsidRPr="00A62B63" w:rsidRDefault="00D1152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1.000.243,74</w:t>
            </w:r>
          </w:p>
        </w:tc>
      </w:tr>
      <w:tr w:rsidR="00D1152D" w:rsidRPr="00A62B63" w14:paraId="29626528" w14:textId="77777777" w:rsidTr="00AD260D">
        <w:trPr>
          <w:trHeight w:val="300"/>
        </w:trPr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10B25" w14:textId="77777777" w:rsidR="00D1152D" w:rsidRPr="00A62B63" w:rsidRDefault="00D1152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Kulturni centar Osijek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8F98" w14:textId="77777777" w:rsidR="00D1152D" w:rsidRPr="00A62B63" w:rsidRDefault="00D1152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7.433.142,27</w:t>
            </w:r>
          </w:p>
        </w:tc>
      </w:tr>
      <w:tr w:rsidR="00D1152D" w:rsidRPr="00A62B63" w14:paraId="5486B8F6" w14:textId="77777777" w:rsidTr="00AD260D">
        <w:trPr>
          <w:trHeight w:val="300"/>
        </w:trPr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F6614" w14:textId="77777777" w:rsidR="00D1152D" w:rsidRPr="00A62B63" w:rsidRDefault="00D1152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Vladimir Becić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F019" w14:textId="77777777" w:rsidR="00D1152D" w:rsidRPr="00A62B63" w:rsidRDefault="00D1152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7.455.738,52</w:t>
            </w:r>
          </w:p>
        </w:tc>
      </w:tr>
      <w:tr w:rsidR="00D1152D" w:rsidRPr="00A62B63" w14:paraId="35CCCD05" w14:textId="77777777" w:rsidTr="00AD260D">
        <w:trPr>
          <w:trHeight w:val="300"/>
        </w:trPr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92F4" w14:textId="77777777" w:rsidR="00D1152D" w:rsidRPr="00A62B63" w:rsidRDefault="00D1152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Ivan Filipović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6F75" w14:textId="77777777" w:rsidR="00D1152D" w:rsidRPr="00A62B63" w:rsidRDefault="00D1152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10.428.578,40</w:t>
            </w:r>
          </w:p>
        </w:tc>
      </w:tr>
      <w:tr w:rsidR="00D1152D" w:rsidRPr="00A62B63" w14:paraId="68DAF048" w14:textId="77777777" w:rsidTr="00AD260D">
        <w:trPr>
          <w:trHeight w:val="300"/>
        </w:trPr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19DA" w14:textId="77777777" w:rsidR="00D1152D" w:rsidRPr="00A62B63" w:rsidRDefault="00D1152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Dobriša Cesarić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7C49" w14:textId="77777777" w:rsidR="00D1152D" w:rsidRPr="00A62B63" w:rsidRDefault="00D1152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8.205.259,88</w:t>
            </w:r>
          </w:p>
        </w:tc>
      </w:tr>
      <w:tr w:rsidR="00D1152D" w:rsidRPr="00A62B63" w14:paraId="4CE3B18E" w14:textId="77777777" w:rsidTr="00AD260D">
        <w:trPr>
          <w:trHeight w:val="300"/>
        </w:trPr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0EC59" w14:textId="77777777" w:rsidR="00D1152D" w:rsidRPr="00A62B63" w:rsidRDefault="00D1152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Grigor Vitez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E546" w14:textId="77777777" w:rsidR="00D1152D" w:rsidRPr="00A62B63" w:rsidRDefault="00D1152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7.633.064,97</w:t>
            </w:r>
          </w:p>
        </w:tc>
      </w:tr>
      <w:tr w:rsidR="00D1152D" w:rsidRPr="00A62B63" w14:paraId="1BC14075" w14:textId="77777777" w:rsidTr="00AD260D">
        <w:trPr>
          <w:trHeight w:val="300"/>
        </w:trPr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F69A1" w14:textId="77777777" w:rsidR="00D1152D" w:rsidRPr="00A62B63" w:rsidRDefault="00D1152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Višnjevac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258D" w14:textId="77777777" w:rsidR="00D1152D" w:rsidRPr="00A62B63" w:rsidRDefault="00D1152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11.201.846,57</w:t>
            </w:r>
          </w:p>
        </w:tc>
      </w:tr>
      <w:tr w:rsidR="00D1152D" w:rsidRPr="00A62B63" w14:paraId="4F1281E7" w14:textId="77777777" w:rsidTr="00AD260D">
        <w:trPr>
          <w:trHeight w:val="300"/>
        </w:trPr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27EC0" w14:textId="77777777" w:rsidR="00D1152D" w:rsidRPr="00A62B63" w:rsidRDefault="00D1152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Vijenac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7912" w14:textId="77777777" w:rsidR="00D1152D" w:rsidRPr="00A62B63" w:rsidRDefault="00D1152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7.322.380,85</w:t>
            </w:r>
          </w:p>
        </w:tc>
      </w:tr>
      <w:tr w:rsidR="00D1152D" w:rsidRPr="00A62B63" w14:paraId="1CA6BBEB" w14:textId="77777777" w:rsidTr="00AD260D">
        <w:trPr>
          <w:trHeight w:val="300"/>
        </w:trPr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5702" w14:textId="77777777" w:rsidR="00D1152D" w:rsidRPr="00A62B63" w:rsidRDefault="00D1152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Tin Ujević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A446" w14:textId="77777777" w:rsidR="00D1152D" w:rsidRPr="00A62B63" w:rsidRDefault="00D1152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10.705.214,85</w:t>
            </w:r>
          </w:p>
        </w:tc>
      </w:tr>
      <w:tr w:rsidR="00D1152D" w:rsidRPr="00A62B63" w14:paraId="4EB6BBCD" w14:textId="77777777" w:rsidTr="00AD260D">
        <w:trPr>
          <w:trHeight w:val="300"/>
        </w:trPr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D979" w14:textId="77777777" w:rsidR="00D1152D" w:rsidRPr="00A62B63" w:rsidRDefault="00D1152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OŠ Jagoda </w:t>
            </w:r>
            <w:proofErr w:type="spellStart"/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Truhelka</w:t>
            </w:r>
            <w:proofErr w:type="spellEnd"/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CC27" w14:textId="77777777" w:rsidR="00D1152D" w:rsidRPr="00A62B63" w:rsidRDefault="00D1152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10.493.839,90</w:t>
            </w:r>
          </w:p>
        </w:tc>
      </w:tr>
      <w:tr w:rsidR="00D1152D" w:rsidRPr="00A62B63" w14:paraId="72E6B05D" w14:textId="77777777" w:rsidTr="00AD260D">
        <w:trPr>
          <w:trHeight w:val="300"/>
        </w:trPr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F73D3" w14:textId="77777777" w:rsidR="00D1152D" w:rsidRPr="00A62B63" w:rsidRDefault="00D1152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Tenja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4304" w14:textId="77777777" w:rsidR="00D1152D" w:rsidRPr="00A62B63" w:rsidRDefault="00D1152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12.621.306,26</w:t>
            </w:r>
          </w:p>
        </w:tc>
      </w:tr>
      <w:tr w:rsidR="00D1152D" w:rsidRPr="00A62B63" w14:paraId="2D6660E9" w14:textId="77777777" w:rsidTr="00AD260D">
        <w:trPr>
          <w:trHeight w:val="300"/>
        </w:trPr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DDAB" w14:textId="77777777" w:rsidR="00D1152D" w:rsidRPr="00A62B63" w:rsidRDefault="00D1152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Centar Ivan Štark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A297" w14:textId="77777777" w:rsidR="00D1152D" w:rsidRPr="00A62B63" w:rsidRDefault="00D1152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15.858.793,43</w:t>
            </w:r>
          </w:p>
        </w:tc>
      </w:tr>
      <w:tr w:rsidR="00D1152D" w:rsidRPr="00A62B63" w14:paraId="6BA50420" w14:textId="77777777" w:rsidTr="00AD260D">
        <w:trPr>
          <w:trHeight w:val="300"/>
        </w:trPr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8D41" w14:textId="77777777" w:rsidR="00D1152D" w:rsidRPr="00A62B63" w:rsidRDefault="00D1152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Augusta Šenoe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E2CF" w14:textId="77777777" w:rsidR="00D1152D" w:rsidRPr="00A62B63" w:rsidRDefault="00D1152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7.252.368,58</w:t>
            </w:r>
          </w:p>
        </w:tc>
      </w:tr>
      <w:tr w:rsidR="00D1152D" w:rsidRPr="00A62B63" w14:paraId="7658068B" w14:textId="77777777" w:rsidTr="00AD260D">
        <w:trPr>
          <w:trHeight w:val="300"/>
        </w:trPr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332A" w14:textId="77777777" w:rsidR="00D1152D" w:rsidRPr="00A62B63" w:rsidRDefault="00D1152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Svete Ane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AFB1" w14:textId="77777777" w:rsidR="00D1152D" w:rsidRPr="00A62B63" w:rsidRDefault="00D1152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8.016.639,90</w:t>
            </w:r>
          </w:p>
        </w:tc>
      </w:tr>
      <w:tr w:rsidR="00D1152D" w:rsidRPr="00A62B63" w14:paraId="48BD1FB1" w14:textId="77777777" w:rsidTr="00AD260D">
        <w:trPr>
          <w:trHeight w:val="300"/>
        </w:trPr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FC42" w14:textId="77777777" w:rsidR="00D1152D" w:rsidRPr="00A62B63" w:rsidRDefault="00D1152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Prosvjetno kulturni centar Mađara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29E5" w14:textId="77777777" w:rsidR="00D1152D" w:rsidRPr="00A62B63" w:rsidRDefault="00D1152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14.327.661,80</w:t>
            </w:r>
          </w:p>
        </w:tc>
      </w:tr>
      <w:tr w:rsidR="00D1152D" w:rsidRPr="00A62B63" w14:paraId="3E4A4623" w14:textId="77777777" w:rsidTr="00AD260D">
        <w:trPr>
          <w:trHeight w:val="300"/>
        </w:trPr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5998D" w14:textId="77777777" w:rsidR="00D1152D" w:rsidRPr="00A62B63" w:rsidRDefault="00D1152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Mladost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7E4E" w14:textId="77777777" w:rsidR="00D1152D" w:rsidRPr="00A62B63" w:rsidRDefault="00D1152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10.867.810,90</w:t>
            </w:r>
          </w:p>
        </w:tc>
      </w:tr>
      <w:tr w:rsidR="00D1152D" w:rsidRPr="00A62B63" w14:paraId="1368F950" w14:textId="77777777" w:rsidTr="00AD260D">
        <w:trPr>
          <w:trHeight w:val="300"/>
        </w:trPr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17159" w14:textId="77777777" w:rsidR="00D1152D" w:rsidRPr="00A62B63" w:rsidRDefault="00D1152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Josipovac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4BDC" w14:textId="77777777" w:rsidR="00D1152D" w:rsidRPr="00A62B63" w:rsidRDefault="00D1152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6.718.195,94</w:t>
            </w:r>
          </w:p>
        </w:tc>
      </w:tr>
      <w:tr w:rsidR="00D1152D" w:rsidRPr="00A62B63" w14:paraId="38BDD7F2" w14:textId="77777777" w:rsidTr="00AD260D">
        <w:trPr>
          <w:trHeight w:val="300"/>
        </w:trPr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122FE" w14:textId="77777777" w:rsidR="00D1152D" w:rsidRPr="00A62B63" w:rsidRDefault="00D1152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Ljudevita Gaja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3534" w14:textId="77777777" w:rsidR="00D1152D" w:rsidRPr="00A62B63" w:rsidRDefault="00D1152D" w:rsidP="00AD26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12.082.672,32</w:t>
            </w:r>
          </w:p>
        </w:tc>
      </w:tr>
      <w:tr w:rsidR="00D1152D" w:rsidRPr="00A62B63" w14:paraId="0BA42AF2" w14:textId="77777777" w:rsidTr="00AD260D">
        <w:trPr>
          <w:trHeight w:val="300"/>
        </w:trPr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2066" w14:textId="77777777" w:rsidR="00D1152D" w:rsidRPr="00A62B63" w:rsidRDefault="00D1152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Antuna Mihanovića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DFD0" w14:textId="77777777" w:rsidR="00D1152D" w:rsidRPr="00A62B63" w:rsidRDefault="00D1152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9.207.245,87</w:t>
            </w:r>
          </w:p>
        </w:tc>
      </w:tr>
      <w:tr w:rsidR="00D1152D" w:rsidRPr="00A62B63" w14:paraId="68434B16" w14:textId="77777777" w:rsidTr="00AD260D">
        <w:trPr>
          <w:trHeight w:val="300"/>
        </w:trPr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4D79" w14:textId="77777777" w:rsidR="00D1152D" w:rsidRPr="00A62B63" w:rsidRDefault="00D1152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Franje Krežme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E057" w14:textId="77777777" w:rsidR="00D1152D" w:rsidRPr="00A62B63" w:rsidRDefault="00D1152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7.975.002,40</w:t>
            </w:r>
          </w:p>
        </w:tc>
      </w:tr>
      <w:tr w:rsidR="00D1152D" w:rsidRPr="00A62B63" w14:paraId="19D2FB67" w14:textId="77777777" w:rsidTr="00AD260D">
        <w:trPr>
          <w:trHeight w:val="300"/>
        </w:trPr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70F7" w14:textId="77777777" w:rsidR="00D1152D" w:rsidRPr="00A62B63" w:rsidRDefault="00D1152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Frana Krste Frankopana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EBC19" w14:textId="77777777" w:rsidR="00D1152D" w:rsidRPr="00A62B63" w:rsidRDefault="00D1152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11.187.164,10</w:t>
            </w:r>
          </w:p>
        </w:tc>
      </w:tr>
      <w:tr w:rsidR="00D1152D" w:rsidRPr="00A62B63" w14:paraId="3616110A" w14:textId="77777777" w:rsidTr="00AD260D">
        <w:trPr>
          <w:trHeight w:val="300"/>
        </w:trPr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5C9C" w14:textId="77777777" w:rsidR="00D1152D" w:rsidRPr="00A62B63" w:rsidRDefault="00D1152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Cvjetno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9D5E" w14:textId="77777777" w:rsidR="00D1152D" w:rsidRPr="00A62B63" w:rsidRDefault="00D1152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5.785.404,28</w:t>
            </w:r>
          </w:p>
        </w:tc>
      </w:tr>
      <w:tr w:rsidR="00D1152D" w:rsidRPr="00A62B63" w14:paraId="465851A1" w14:textId="77777777" w:rsidTr="00AD260D">
        <w:trPr>
          <w:trHeight w:val="315"/>
        </w:trPr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8A12" w14:textId="77777777" w:rsidR="00D1152D" w:rsidRPr="00A62B63" w:rsidRDefault="00D1152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OŠ Retfala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9B6D" w14:textId="77777777" w:rsidR="00D1152D" w:rsidRPr="00A62B63" w:rsidRDefault="00D1152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12.056.211,42</w:t>
            </w:r>
          </w:p>
        </w:tc>
      </w:tr>
      <w:tr w:rsidR="00D1152D" w:rsidRPr="00A62B63" w14:paraId="1E2E52D5" w14:textId="77777777" w:rsidTr="00AD260D">
        <w:trPr>
          <w:trHeight w:val="315"/>
        </w:trPr>
        <w:tc>
          <w:tcPr>
            <w:tcW w:w="3754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06DB3" w14:textId="77777777" w:rsidR="00D1152D" w:rsidRPr="00A62B63" w:rsidRDefault="00D1152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Ukupno prihodi poslovanja</w:t>
            </w:r>
          </w:p>
        </w:tc>
        <w:tc>
          <w:tcPr>
            <w:tcW w:w="124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53BD3F32" w14:textId="77777777" w:rsidR="00D1152D" w:rsidRPr="000629B8" w:rsidRDefault="00D1152D" w:rsidP="00AD260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943.478.606,56</w:t>
            </w:r>
          </w:p>
        </w:tc>
      </w:tr>
      <w:tr w:rsidR="00D1152D" w:rsidRPr="00A62B63" w14:paraId="51CBCB2C" w14:textId="77777777" w:rsidTr="00AD260D">
        <w:trPr>
          <w:trHeight w:val="315"/>
        </w:trPr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7DE8" w14:textId="77777777" w:rsidR="00D1152D" w:rsidRPr="00A62B63" w:rsidRDefault="00D1152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Prijenos korisnicima (konto 671)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26E4" w14:textId="77777777" w:rsidR="00D1152D" w:rsidRPr="00A62B63" w:rsidRDefault="00D1152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119.289.659,56</w:t>
            </w:r>
          </w:p>
        </w:tc>
      </w:tr>
      <w:tr w:rsidR="00D1152D" w:rsidRPr="00A62B63" w14:paraId="08DF9CAB" w14:textId="77777777" w:rsidTr="00AD260D">
        <w:trPr>
          <w:trHeight w:val="315"/>
        </w:trPr>
        <w:tc>
          <w:tcPr>
            <w:tcW w:w="3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48BB" w14:textId="77777777" w:rsidR="00D1152D" w:rsidRPr="00A62B63" w:rsidRDefault="00D1152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Tekući prijenosi između proračunskih korisnika istog proračuna (639)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8D711" w14:textId="77777777" w:rsidR="00D1152D" w:rsidRPr="006E1D1C" w:rsidRDefault="00D1152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1D1C">
              <w:rPr>
                <w:rFonts w:ascii="Calibri" w:hAnsi="Calibri" w:cs="Calibri"/>
                <w:color w:val="000000"/>
                <w:sz w:val="22"/>
                <w:szCs w:val="22"/>
              </w:rPr>
              <w:t>2.261,67</w:t>
            </w:r>
          </w:p>
        </w:tc>
      </w:tr>
      <w:tr w:rsidR="00D1152D" w:rsidRPr="006E7505" w14:paraId="66A17B7F" w14:textId="77777777" w:rsidTr="00AD260D">
        <w:trPr>
          <w:trHeight w:val="315"/>
        </w:trPr>
        <w:tc>
          <w:tcPr>
            <w:tcW w:w="3754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9F868" w14:textId="77777777" w:rsidR="00D1152D" w:rsidRPr="00A62B63" w:rsidRDefault="00D1152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B63">
              <w:rPr>
                <w:rFonts w:ascii="Calibri" w:hAnsi="Calibri" w:cs="Calibri"/>
                <w:color w:val="000000"/>
                <w:sz w:val="22"/>
                <w:szCs w:val="22"/>
              </w:rPr>
              <w:t>Ukupno prihodi poslovanja</w:t>
            </w:r>
          </w:p>
        </w:tc>
        <w:tc>
          <w:tcPr>
            <w:tcW w:w="124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B6EAC" w14:textId="77777777" w:rsidR="00D1152D" w:rsidRPr="006E7505" w:rsidRDefault="00D1152D" w:rsidP="00AD260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75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824.186.685,33</w:t>
            </w:r>
          </w:p>
        </w:tc>
      </w:tr>
    </w:tbl>
    <w:p w14:paraId="760965A0" w14:textId="77777777" w:rsidR="00D944A5" w:rsidRDefault="00D944A5" w:rsidP="00D944A5">
      <w:pPr>
        <w:ind w:left="705" w:hanging="705"/>
        <w:jc w:val="both"/>
      </w:pPr>
      <w:r w:rsidRPr="00494507">
        <w:rPr>
          <w:b/>
          <w:bCs/>
        </w:rPr>
        <w:lastRenderedPageBreak/>
        <w:t>611</w:t>
      </w:r>
      <w:r w:rsidRPr="00E917D7">
        <w:tab/>
        <w:t xml:space="preserve">Na šifri Porez i prirez na dohodak u odnosu na isto razdoblje prethodne godine vidljivo je povećanje uplaćenog poreza i prireza na dohodak u iznosu </w:t>
      </w:r>
      <w:r>
        <w:t>55</w:t>
      </w:r>
      <w:r w:rsidRPr="00E917D7">
        <w:t>.</w:t>
      </w:r>
      <w:r>
        <w:t>729</w:t>
      </w:r>
      <w:r w:rsidRPr="00E917D7">
        <w:t>.</w:t>
      </w:r>
      <w:r>
        <w:t>767</w:t>
      </w:r>
      <w:r w:rsidRPr="00E917D7">
        <w:t>,</w:t>
      </w:r>
      <w:r>
        <w:t>23</w:t>
      </w:r>
      <w:r w:rsidRPr="00E917D7">
        <w:t xml:space="preserve"> kn ili 20,</w:t>
      </w:r>
      <w:r>
        <w:t>4</w:t>
      </w:r>
      <w:r w:rsidRPr="00E917D7">
        <w:t>%. Ovaj rast vidljiv je i kod drugih JLS-ova i vezan je za rast plaća u javnom i privatnom sektoru, zapošljavanje i mjera naplate Porezne uprave.</w:t>
      </w:r>
    </w:p>
    <w:p w14:paraId="6C1DB4D7" w14:textId="77777777" w:rsidR="00C47DC5" w:rsidRPr="00E917D7" w:rsidRDefault="00C47DC5" w:rsidP="00D944A5">
      <w:pPr>
        <w:ind w:left="705" w:hanging="705"/>
        <w:jc w:val="both"/>
      </w:pPr>
    </w:p>
    <w:p w14:paraId="618C9A64" w14:textId="77777777" w:rsidR="00D944A5" w:rsidRDefault="00D944A5" w:rsidP="00D944A5">
      <w:pPr>
        <w:ind w:left="705" w:hanging="705"/>
        <w:jc w:val="both"/>
      </w:pPr>
      <w:r w:rsidRPr="00494507">
        <w:rPr>
          <w:b/>
          <w:bCs/>
        </w:rPr>
        <w:t>613</w:t>
      </w:r>
      <w:r w:rsidRPr="00E917D7">
        <w:tab/>
        <w:t>Porezi na imovinu veći su za 3.3</w:t>
      </w:r>
      <w:r>
        <w:t>40</w:t>
      </w:r>
      <w:r w:rsidRPr="00E917D7">
        <w:t>.</w:t>
      </w:r>
      <w:r>
        <w:t>938</w:t>
      </w:r>
      <w:r w:rsidRPr="00E917D7">
        <w:t>,</w:t>
      </w:r>
      <w:r>
        <w:t>85</w:t>
      </w:r>
      <w:r w:rsidRPr="00E917D7">
        <w:t xml:space="preserve"> kn ili 1</w:t>
      </w:r>
      <w:r>
        <w:t>3</w:t>
      </w:r>
      <w:r w:rsidRPr="00E917D7">
        <w:t>,</w:t>
      </w:r>
      <w:r>
        <w:t>5</w:t>
      </w:r>
      <w:r w:rsidRPr="00E917D7">
        <w:t>%. Povećanje je vezano za prihode od  poreza na promet nekretnina. Iskazani rast vezan je za aktivnosti na tržištu nekretnina poticane mjerama sufinanciranje od strane Republike Hrvatske, Osječko-bar</w:t>
      </w:r>
      <w:r>
        <w:t>anjske županije i Grada Osijeka, kao i značajan rast cijena samih nekretnina.</w:t>
      </w:r>
    </w:p>
    <w:p w14:paraId="4A661E8D" w14:textId="77777777" w:rsidR="00C47DC5" w:rsidRPr="00E917D7" w:rsidRDefault="00C47DC5" w:rsidP="00D944A5">
      <w:pPr>
        <w:ind w:left="705" w:hanging="705"/>
        <w:jc w:val="both"/>
      </w:pPr>
    </w:p>
    <w:p w14:paraId="6A0BE47D" w14:textId="4AAEEB2D" w:rsidR="00D944A5" w:rsidRDefault="00D944A5" w:rsidP="00D944A5">
      <w:pPr>
        <w:ind w:left="705" w:hanging="705"/>
        <w:jc w:val="both"/>
      </w:pPr>
      <w:r w:rsidRPr="00494507">
        <w:rPr>
          <w:b/>
          <w:bCs/>
        </w:rPr>
        <w:t>6142</w:t>
      </w:r>
      <w:r w:rsidRPr="00E917D7">
        <w:tab/>
        <w:t xml:space="preserve">Prihodi iskazani u okviru ove šifre prihoda ostvareni su u iznosu </w:t>
      </w:r>
      <w:r>
        <w:t>77</w:t>
      </w:r>
      <w:r w:rsidRPr="00E917D7">
        <w:t>.</w:t>
      </w:r>
      <w:r>
        <w:t>259</w:t>
      </w:r>
      <w:r w:rsidRPr="00E917D7">
        <w:t>,</w:t>
      </w:r>
      <w:r>
        <w:t>56</w:t>
      </w:r>
      <w:r w:rsidRPr="00E917D7">
        <w:t xml:space="preserve"> kn ili 2</w:t>
      </w:r>
      <w:r w:rsidR="006E372C">
        <w:t>4</w:t>
      </w:r>
      <w:r>
        <w:t>,</w:t>
      </w:r>
      <w:r w:rsidR="006E372C">
        <w:t>6</w:t>
      </w:r>
      <w:r w:rsidRPr="00E917D7">
        <w:t xml:space="preserve">% </w:t>
      </w:r>
      <w:r>
        <w:t>u</w:t>
      </w:r>
      <w:r w:rsidRPr="00E917D7">
        <w:t xml:space="preserve"> odnosu na prethodnu godinu. Vezani su za naplatu potraživanja iz prethodnih godina s osnova poreza na potrošnju i poreza na tvrtku koje je Grad Osijek ukinuo.</w:t>
      </w:r>
    </w:p>
    <w:p w14:paraId="33810307" w14:textId="77777777" w:rsidR="00C47DC5" w:rsidRPr="00E917D7" w:rsidRDefault="00C47DC5" w:rsidP="00D944A5">
      <w:pPr>
        <w:ind w:left="705" w:hanging="705"/>
        <w:jc w:val="both"/>
      </w:pPr>
    </w:p>
    <w:p w14:paraId="4EE9D04E" w14:textId="1E8093B4" w:rsidR="00D944A5" w:rsidRPr="00E917D7" w:rsidRDefault="00D944A5" w:rsidP="00C47DC5">
      <w:pPr>
        <w:ind w:left="703" w:hanging="705"/>
        <w:jc w:val="both"/>
      </w:pPr>
      <w:r w:rsidRPr="00494507">
        <w:rPr>
          <w:b/>
          <w:bCs/>
        </w:rPr>
        <w:t>63</w:t>
      </w:r>
      <w:r>
        <w:tab/>
        <w:t xml:space="preserve">Pomoći su uplaćene u iznosu </w:t>
      </w:r>
      <w:r w:rsidR="006E372C">
        <w:t>319</w:t>
      </w:r>
      <w:r w:rsidRPr="00E917D7">
        <w:t>.</w:t>
      </w:r>
      <w:r w:rsidR="006E372C">
        <w:t>483</w:t>
      </w:r>
      <w:r w:rsidRPr="00E917D7">
        <w:t>.</w:t>
      </w:r>
      <w:r w:rsidR="006E372C">
        <w:t>404</w:t>
      </w:r>
      <w:r w:rsidRPr="00E917D7">
        <w:t>,</w:t>
      </w:r>
      <w:r w:rsidR="006E372C">
        <w:t>08</w:t>
      </w:r>
      <w:r w:rsidRPr="00E917D7">
        <w:t xml:space="preserve"> kn i veće su za </w:t>
      </w:r>
      <w:r w:rsidR="006E372C">
        <w:t>24.752.936,08 kn</w:t>
      </w:r>
      <w:r w:rsidR="00C47DC5">
        <w:t xml:space="preserve"> u odnosu na prethodnu godinu,</w:t>
      </w:r>
      <w:r w:rsidR="006E372C">
        <w:t xml:space="preserve"> od čega se </w:t>
      </w:r>
      <w:r>
        <w:t>5</w:t>
      </w:r>
      <w:r w:rsidRPr="00E917D7">
        <w:t>.</w:t>
      </w:r>
      <w:r>
        <w:t>750</w:t>
      </w:r>
      <w:r w:rsidRPr="00E917D7">
        <w:t>.</w:t>
      </w:r>
      <w:r>
        <w:t>785</w:t>
      </w:r>
      <w:r w:rsidRPr="00E917D7">
        <w:t>,</w:t>
      </w:r>
      <w:r>
        <w:t>34</w:t>
      </w:r>
      <w:r w:rsidRPr="00E917D7">
        <w:t xml:space="preserve"> kn </w:t>
      </w:r>
      <w:r w:rsidR="00C47DC5">
        <w:t>odnosi na povećanje pomoći za Grad Osijek a 19.002.150,74 kn na proračunske korisnike.</w:t>
      </w:r>
      <w:r w:rsidRPr="00E917D7">
        <w:t xml:space="preserve"> Ovo povećanje prvenstveno je vezano</w:t>
      </w:r>
      <w:r w:rsidR="00C47DC5">
        <w:t xml:space="preserve"> za prijenos sredstava osnovnim školama od strane nadležnog Ministarstva (povećanje plaća) te</w:t>
      </w:r>
      <w:r w:rsidRPr="00E917D7">
        <w:t xml:space="preserve"> refundaciju sredstava po projektima temelje</w:t>
      </w:r>
      <w:r w:rsidR="00C47DC5">
        <w:t>m</w:t>
      </w:r>
      <w:r w:rsidRPr="00E917D7">
        <w:t xml:space="preserve"> dinami</w:t>
      </w:r>
      <w:r w:rsidR="00C47DC5">
        <w:t>ke</w:t>
      </w:r>
      <w:r w:rsidRPr="00E917D7">
        <w:t xml:space="preserve"> odvijanja kapitalnih projekata Grada Osijeka. Financijski najznačajnije povećanje vidljivo je u okviru šifre</w:t>
      </w:r>
      <w:r w:rsidR="00C47DC5">
        <w:t xml:space="preserve"> 636 u iznosu 16.976.005,09 kn, a vezano je za prijenose proračunskim korisnicima iz proračuna koji im nije nadležan (osnovne škole, Hrvatsko narodno kazalište u Osijeku, Dječji vrtić Osijek) i</w:t>
      </w:r>
      <w:r w:rsidRPr="00E917D7">
        <w:t xml:space="preserve"> 638 </w:t>
      </w:r>
      <w:r>
        <w:t>Pomoći temeljem prijenosa EU sredstava koje su ostvarene u</w:t>
      </w:r>
      <w:r w:rsidRPr="00E917D7">
        <w:t xml:space="preserve"> iznos</w:t>
      </w:r>
      <w:r>
        <w:t xml:space="preserve">u </w:t>
      </w:r>
      <w:r w:rsidRPr="007B50A6">
        <w:t>91.365.752,06</w:t>
      </w:r>
      <w:r w:rsidRPr="00E917D7">
        <w:t xml:space="preserve"> kn </w:t>
      </w:r>
      <w:r w:rsidRPr="003C7EA6">
        <w:t>ili 119,9%.</w:t>
      </w:r>
      <w:r w:rsidRPr="00E917D7">
        <w:t xml:space="preserve"> Financijski najznačajnije pomoći</w:t>
      </w:r>
      <w:r w:rsidR="00C47DC5">
        <w:t xml:space="preserve"> koje su doznačene Gradu Osijeku</w:t>
      </w:r>
      <w:r w:rsidRPr="00E917D7">
        <w:t xml:space="preserve"> vezane su za sljedeće aktivnosti/ projekte: </w:t>
      </w:r>
    </w:p>
    <w:p w14:paraId="7AE92915" w14:textId="77777777" w:rsidR="00D944A5" w:rsidRPr="00E917D7" w:rsidRDefault="00D944A5" w:rsidP="00D944A5">
      <w:pPr>
        <w:ind w:left="703"/>
        <w:jc w:val="both"/>
      </w:pPr>
      <w:r w:rsidRPr="00E917D7">
        <w:t>Sanacija odlagališta Sarvaš 2</w:t>
      </w:r>
      <w:r>
        <w:t>7</w:t>
      </w:r>
      <w:r w:rsidRPr="00E917D7">
        <w:t>.</w:t>
      </w:r>
      <w:r>
        <w:t>134</w:t>
      </w:r>
      <w:r w:rsidRPr="00E917D7">
        <w:t>.</w:t>
      </w:r>
      <w:r>
        <w:t>285</w:t>
      </w:r>
      <w:r w:rsidRPr="00E917D7">
        <w:t>,4</w:t>
      </w:r>
      <w:r>
        <w:t>1</w:t>
      </w:r>
      <w:r w:rsidRPr="00E917D7">
        <w:t xml:space="preserve"> kn, </w:t>
      </w:r>
    </w:p>
    <w:p w14:paraId="5DDA0848" w14:textId="77777777" w:rsidR="00D944A5" w:rsidRPr="00E917D7" w:rsidRDefault="00D944A5" w:rsidP="00D944A5">
      <w:pPr>
        <w:ind w:left="703"/>
        <w:jc w:val="both"/>
      </w:pPr>
      <w:r w:rsidRPr="00E917D7">
        <w:t>Izgradnja podvožnjaka u ulici Sv. L.</w:t>
      </w:r>
      <w:r>
        <w:t xml:space="preserve"> </w:t>
      </w:r>
      <w:r w:rsidRPr="00E917D7">
        <w:t>B.</w:t>
      </w:r>
      <w:r>
        <w:t xml:space="preserve"> </w:t>
      </w:r>
      <w:r w:rsidRPr="00E917D7">
        <w:t xml:space="preserve">Mandića </w:t>
      </w:r>
      <w:r>
        <w:t>21</w:t>
      </w:r>
      <w:r w:rsidRPr="00E917D7">
        <w:t>.</w:t>
      </w:r>
      <w:r>
        <w:t>996</w:t>
      </w:r>
      <w:r w:rsidRPr="00E917D7">
        <w:t>.</w:t>
      </w:r>
      <w:r>
        <w:t>053</w:t>
      </w:r>
      <w:r w:rsidRPr="00E917D7">
        <w:t>,0</w:t>
      </w:r>
      <w:r>
        <w:t>0</w:t>
      </w:r>
      <w:r w:rsidRPr="00E917D7">
        <w:t xml:space="preserve"> kn, </w:t>
      </w:r>
    </w:p>
    <w:p w14:paraId="107CA387" w14:textId="77777777" w:rsidR="00D944A5" w:rsidRPr="00E917D7" w:rsidRDefault="00D944A5" w:rsidP="00D944A5">
      <w:pPr>
        <w:ind w:left="703"/>
        <w:jc w:val="both"/>
      </w:pPr>
      <w:r w:rsidRPr="00E917D7">
        <w:t>Pomoć</w:t>
      </w:r>
      <w:r>
        <w:t>i</w:t>
      </w:r>
      <w:r w:rsidRPr="00E917D7">
        <w:t xml:space="preserve"> za decentralizirane funkcije osnovnog školstva i vatrogastva 1</w:t>
      </w:r>
      <w:r>
        <w:t>8</w:t>
      </w:r>
      <w:r w:rsidRPr="00E917D7">
        <w:t>.</w:t>
      </w:r>
      <w:r>
        <w:t>012</w:t>
      </w:r>
      <w:r w:rsidRPr="00E917D7">
        <w:t>.</w:t>
      </w:r>
      <w:r>
        <w:t>038</w:t>
      </w:r>
      <w:r w:rsidRPr="00E917D7">
        <w:t>,</w:t>
      </w:r>
      <w:r>
        <w:t>55</w:t>
      </w:r>
      <w:r w:rsidRPr="00E917D7">
        <w:t xml:space="preserve"> kn,</w:t>
      </w:r>
    </w:p>
    <w:p w14:paraId="189A1EB4" w14:textId="77777777" w:rsidR="00D944A5" w:rsidRPr="00E917D7" w:rsidRDefault="00D944A5" w:rsidP="00D944A5">
      <w:pPr>
        <w:ind w:left="703"/>
        <w:jc w:val="both"/>
      </w:pPr>
      <w:r w:rsidRPr="00E917D7">
        <w:t xml:space="preserve">Razvoj i unaprjeđenje osječke Tvrđe </w:t>
      </w:r>
      <w:r>
        <w:t>24</w:t>
      </w:r>
      <w:r w:rsidRPr="00E917D7">
        <w:t>.</w:t>
      </w:r>
      <w:r>
        <w:t>384</w:t>
      </w:r>
      <w:r w:rsidRPr="00E917D7">
        <w:t>.</w:t>
      </w:r>
      <w:r>
        <w:t>463</w:t>
      </w:r>
      <w:r w:rsidRPr="00E917D7">
        <w:t>,</w:t>
      </w:r>
      <w:r>
        <w:t>80</w:t>
      </w:r>
      <w:r w:rsidRPr="00E917D7">
        <w:t xml:space="preserve"> kn,</w:t>
      </w:r>
    </w:p>
    <w:p w14:paraId="6B989CC1" w14:textId="77777777" w:rsidR="00D944A5" w:rsidRPr="00E917D7" w:rsidRDefault="00D944A5" w:rsidP="00D944A5">
      <w:pPr>
        <w:ind w:left="703"/>
        <w:jc w:val="both"/>
      </w:pPr>
      <w:r w:rsidRPr="00E917D7">
        <w:t xml:space="preserve">ŽUC-sredstva za održavanje cesta </w:t>
      </w:r>
      <w:r>
        <w:t>5</w:t>
      </w:r>
      <w:r w:rsidRPr="00E917D7">
        <w:t>.</w:t>
      </w:r>
      <w:r>
        <w:t>274</w:t>
      </w:r>
      <w:r w:rsidRPr="00E917D7">
        <w:t>.</w:t>
      </w:r>
      <w:r>
        <w:t>486</w:t>
      </w:r>
      <w:r w:rsidRPr="00E917D7">
        <w:t>,</w:t>
      </w:r>
      <w:r>
        <w:t>39 kn</w:t>
      </w:r>
    </w:p>
    <w:p w14:paraId="58C28F40" w14:textId="77777777" w:rsidR="00D944A5" w:rsidRPr="00E917D7" w:rsidRDefault="00D944A5" w:rsidP="00D944A5">
      <w:pPr>
        <w:ind w:left="703"/>
        <w:jc w:val="both"/>
      </w:pPr>
      <w:r w:rsidRPr="00E917D7">
        <w:t>Centar za posjetitelje Tvrđa</w:t>
      </w:r>
      <w:r>
        <w:t xml:space="preserve"> 7</w:t>
      </w:r>
      <w:r w:rsidRPr="00E917D7">
        <w:t>.</w:t>
      </w:r>
      <w:r>
        <w:t>014</w:t>
      </w:r>
      <w:r w:rsidRPr="00E917D7">
        <w:t>.</w:t>
      </w:r>
      <w:r>
        <w:t>876</w:t>
      </w:r>
      <w:r w:rsidRPr="00E917D7">
        <w:t>,</w:t>
      </w:r>
      <w:r>
        <w:t>65</w:t>
      </w:r>
      <w:r w:rsidRPr="00E917D7">
        <w:t xml:space="preserve"> kn</w:t>
      </w:r>
    </w:p>
    <w:p w14:paraId="3AFE5CE6" w14:textId="77777777" w:rsidR="00D944A5" w:rsidRPr="00E917D7" w:rsidRDefault="00D944A5" w:rsidP="00D944A5">
      <w:pPr>
        <w:ind w:left="703"/>
        <w:jc w:val="both"/>
      </w:pPr>
      <w:r w:rsidRPr="00E917D7">
        <w:t xml:space="preserve">Izgradnja </w:t>
      </w:r>
      <w:proofErr w:type="spellStart"/>
      <w:r w:rsidRPr="00E917D7">
        <w:t>reciklažnog</w:t>
      </w:r>
      <w:proofErr w:type="spellEnd"/>
      <w:r w:rsidRPr="00E917D7">
        <w:t xml:space="preserve"> dvorišta Donji grad 3.807.139,23 kn, </w:t>
      </w:r>
    </w:p>
    <w:p w14:paraId="4B3EA471" w14:textId="77777777" w:rsidR="00D944A5" w:rsidRPr="00E917D7" w:rsidRDefault="00D944A5" w:rsidP="00D944A5">
      <w:pPr>
        <w:ind w:left="703"/>
        <w:jc w:val="both"/>
      </w:pPr>
      <w:r w:rsidRPr="00E917D7">
        <w:t xml:space="preserve">Energetska obnova ( OŠ Franje Krežme i DV Radost) </w:t>
      </w:r>
      <w:r>
        <w:t>4</w:t>
      </w:r>
      <w:r w:rsidRPr="00E917D7">
        <w:t>.</w:t>
      </w:r>
      <w:r>
        <w:t>496</w:t>
      </w:r>
      <w:r w:rsidRPr="00E917D7">
        <w:t>.</w:t>
      </w:r>
      <w:r>
        <w:t>342,33</w:t>
      </w:r>
      <w:r w:rsidRPr="00E917D7">
        <w:t xml:space="preserve"> kn,</w:t>
      </w:r>
    </w:p>
    <w:p w14:paraId="3D37686E" w14:textId="77777777" w:rsidR="00D944A5" w:rsidRPr="00E917D7" w:rsidRDefault="00D944A5" w:rsidP="00D944A5">
      <w:pPr>
        <w:ind w:left="703"/>
        <w:jc w:val="both"/>
      </w:pPr>
      <w:r w:rsidRPr="00E917D7">
        <w:t xml:space="preserve">Projekt </w:t>
      </w:r>
      <w:r>
        <w:t>E-mobilnost</w:t>
      </w:r>
      <w:r w:rsidRPr="00E917D7">
        <w:t xml:space="preserve"> </w:t>
      </w:r>
      <w:r>
        <w:t>4</w:t>
      </w:r>
      <w:r w:rsidRPr="00E917D7">
        <w:t>.</w:t>
      </w:r>
      <w:r>
        <w:t>143</w:t>
      </w:r>
      <w:r w:rsidRPr="00E917D7">
        <w:t>.</w:t>
      </w:r>
      <w:r>
        <w:t>716</w:t>
      </w:r>
      <w:r w:rsidRPr="00E917D7">
        <w:t>,</w:t>
      </w:r>
      <w:r>
        <w:t>60</w:t>
      </w:r>
      <w:r w:rsidRPr="00E917D7">
        <w:t xml:space="preserve"> kn,</w:t>
      </w:r>
    </w:p>
    <w:p w14:paraId="11AE1496" w14:textId="77777777" w:rsidR="00D944A5" w:rsidRPr="00E917D7" w:rsidRDefault="00D944A5" w:rsidP="00D944A5">
      <w:pPr>
        <w:ind w:left="703"/>
        <w:jc w:val="both"/>
      </w:pPr>
      <w:r w:rsidRPr="00E917D7">
        <w:t xml:space="preserve">OBŽ-pomoć za rekonstrukciju kupališta </w:t>
      </w:r>
      <w:proofErr w:type="spellStart"/>
      <w:r w:rsidRPr="00E917D7">
        <w:t>Copacabana</w:t>
      </w:r>
      <w:proofErr w:type="spellEnd"/>
      <w:r w:rsidRPr="00E917D7">
        <w:t xml:space="preserve"> 2.000.000,00 kn i dr.</w:t>
      </w:r>
    </w:p>
    <w:p w14:paraId="5E58830D" w14:textId="2C8CEBC0" w:rsidR="00D944A5" w:rsidRPr="00E917D7" w:rsidRDefault="00C47DC5" w:rsidP="00D944A5">
      <w:pPr>
        <w:ind w:left="705" w:hanging="705"/>
        <w:jc w:val="both"/>
      </w:pPr>
      <w:r>
        <w:tab/>
        <w:t xml:space="preserve"> </w:t>
      </w:r>
    </w:p>
    <w:p w14:paraId="04A86B49" w14:textId="79EA53A7" w:rsidR="00D944A5" w:rsidRPr="00E917D7" w:rsidRDefault="00D944A5" w:rsidP="00D944A5">
      <w:pPr>
        <w:ind w:left="705" w:hanging="705"/>
        <w:jc w:val="both"/>
      </w:pPr>
      <w:r w:rsidRPr="00494507">
        <w:rPr>
          <w:b/>
          <w:bCs/>
        </w:rPr>
        <w:t>64</w:t>
      </w:r>
      <w:r w:rsidRPr="00E917D7">
        <w:tab/>
        <w:t xml:space="preserve">U okviru prihoda od imovine vidljivo je povećanje u odnosu na isto razdoblje prethodne godine </w:t>
      </w:r>
      <w:r>
        <w:t xml:space="preserve">u iznosu </w:t>
      </w:r>
      <w:r w:rsidRPr="00C301BF">
        <w:t>4.398.490,22 kn</w:t>
      </w:r>
      <w:r>
        <w:t xml:space="preserve"> ili 20,3%. Značajnija povećanja vidljiva su u okviru</w:t>
      </w:r>
      <w:r w:rsidRPr="00E917D7">
        <w:t xml:space="preserve"> sljedećih prihoda:</w:t>
      </w:r>
    </w:p>
    <w:p w14:paraId="4C286FAA" w14:textId="4CB2480E" w:rsidR="00D944A5" w:rsidRPr="00E917D7" w:rsidRDefault="00D944A5" w:rsidP="00D944A5">
      <w:pPr>
        <w:ind w:left="705" w:hanging="705"/>
        <w:jc w:val="both"/>
      </w:pPr>
      <w:r w:rsidRPr="00494507">
        <w:rPr>
          <w:b/>
          <w:bCs/>
        </w:rPr>
        <w:t>6414</w:t>
      </w:r>
      <w:r w:rsidRPr="00E917D7">
        <w:tab/>
        <w:t xml:space="preserve">Rast zateznih kamata </w:t>
      </w:r>
      <w:r w:rsidR="00C4010D">
        <w:t xml:space="preserve">prvenstveno je </w:t>
      </w:r>
      <w:r w:rsidRPr="00E917D7">
        <w:t xml:space="preserve">vezan za naplaćene kamate po </w:t>
      </w:r>
      <w:r>
        <w:t xml:space="preserve">prihodima Grada i to: s osnova komunalne naknade 108.864,66 kn, komunalnog doprinosa 46.046,48 kn, poljoprivrednog zemljišta 32.164,16 kn, </w:t>
      </w:r>
      <w:r w:rsidRPr="00E917D7">
        <w:t>koncesij</w:t>
      </w:r>
      <w:r>
        <w:t>a</w:t>
      </w:r>
      <w:r w:rsidRPr="00E917D7">
        <w:t xml:space="preserve"> HEP-Pl</w:t>
      </w:r>
      <w:r>
        <w:t>in d.o.o. u iznosu 47.676,10 kn i dr.</w:t>
      </w:r>
    </w:p>
    <w:p w14:paraId="4650A3AD" w14:textId="77777777" w:rsidR="00D944A5" w:rsidRPr="00E917D7" w:rsidRDefault="00D944A5" w:rsidP="00D944A5">
      <w:pPr>
        <w:ind w:left="705" w:hanging="705"/>
        <w:jc w:val="both"/>
      </w:pPr>
      <w:r w:rsidRPr="00494507">
        <w:rPr>
          <w:b/>
          <w:bCs/>
        </w:rPr>
        <w:t>6421</w:t>
      </w:r>
      <w:r w:rsidRPr="00E917D7">
        <w:tab/>
        <w:t xml:space="preserve">Rast prihoda od koncesija u iznosu </w:t>
      </w:r>
      <w:r>
        <w:t>1.212</w:t>
      </w:r>
      <w:r w:rsidRPr="00E917D7">
        <w:t>.</w:t>
      </w:r>
      <w:r>
        <w:t>128,77</w:t>
      </w:r>
      <w:r w:rsidRPr="00E917D7">
        <w:t xml:space="preserve"> kn vezan je naplatu koncesije za parkiranje koja je u istom razdoblju prethodne godine bila ugovorena u umanjenom iznosu uslijed troškova vezanih za nabavu opreme za fiskalizaciju.</w:t>
      </w:r>
    </w:p>
    <w:p w14:paraId="1EA3F24D" w14:textId="77EF4B09" w:rsidR="00D944A5" w:rsidRDefault="00D944A5" w:rsidP="00D944A5">
      <w:pPr>
        <w:ind w:left="705" w:hanging="705"/>
        <w:jc w:val="both"/>
      </w:pPr>
      <w:r w:rsidRPr="00494507">
        <w:rPr>
          <w:b/>
          <w:bCs/>
        </w:rPr>
        <w:lastRenderedPageBreak/>
        <w:t>6422</w:t>
      </w:r>
      <w:r w:rsidRPr="00E917D7">
        <w:tab/>
        <w:t xml:space="preserve">Prihodi od zakupa i iznajmljivanja imovine veći su za </w:t>
      </w:r>
      <w:r w:rsidR="00C4010D">
        <w:t xml:space="preserve">2.478.022,36 kn od čega se povećanje u iznosu </w:t>
      </w:r>
      <w:r w:rsidRPr="00E917D7">
        <w:t>2.4</w:t>
      </w:r>
      <w:r>
        <w:t>71</w:t>
      </w:r>
      <w:r w:rsidRPr="00E917D7">
        <w:t>.</w:t>
      </w:r>
      <w:r>
        <w:t>932</w:t>
      </w:r>
      <w:r w:rsidRPr="00E917D7">
        <w:t>,</w:t>
      </w:r>
      <w:r>
        <w:t>11</w:t>
      </w:r>
      <w:r w:rsidRPr="00E917D7">
        <w:t xml:space="preserve"> kn</w:t>
      </w:r>
      <w:r w:rsidR="00C4010D">
        <w:t xml:space="preserve"> odnosi na Grad.</w:t>
      </w:r>
      <w:r w:rsidRPr="00E917D7">
        <w:t xml:space="preserve">  Ovaj rast prvenstveno je vezan za </w:t>
      </w:r>
      <w:r>
        <w:t xml:space="preserve">prihoda s osnova najma poslovnih prostora i iznosi 1.521.316,94 kn te zakupa javnih površina u iznosu 568.458,77 kn. Najvećim dijelom vezan je  za </w:t>
      </w:r>
      <w:r w:rsidRPr="00E917D7">
        <w:t>ukidanje mjera potpore poduzetnicima za vrijeme pandemije COVID 19</w:t>
      </w:r>
      <w:r>
        <w:t>.</w:t>
      </w:r>
      <w:r w:rsidRPr="00E917D7">
        <w:t xml:space="preserve">  </w:t>
      </w:r>
    </w:p>
    <w:p w14:paraId="321E98EC" w14:textId="77777777" w:rsidR="00C4010D" w:rsidRPr="00E917D7" w:rsidRDefault="00C4010D" w:rsidP="00D944A5">
      <w:pPr>
        <w:ind w:left="705" w:hanging="705"/>
        <w:jc w:val="both"/>
      </w:pPr>
    </w:p>
    <w:p w14:paraId="12932E45" w14:textId="77777777" w:rsidR="00D944A5" w:rsidRDefault="00D944A5" w:rsidP="00D944A5">
      <w:pPr>
        <w:ind w:left="705" w:hanging="705"/>
        <w:jc w:val="both"/>
      </w:pPr>
      <w:r w:rsidRPr="00494507">
        <w:rPr>
          <w:b/>
          <w:bCs/>
        </w:rPr>
        <w:t>6429</w:t>
      </w:r>
      <w:r w:rsidRPr="00E917D7">
        <w:tab/>
      </w:r>
      <w:r>
        <w:t>Ostali prihodi od nefinancijske imovine veći su za 604.852,87 kn uslijed tehničkog ispravka evidentiranja prihoda s osnova naknade za zadržavanje nezakonito izgrađenih građevina u prostoru.</w:t>
      </w:r>
    </w:p>
    <w:p w14:paraId="7B5BF417" w14:textId="77777777" w:rsidR="00C4010D" w:rsidRPr="00E917D7" w:rsidRDefault="00C4010D" w:rsidP="00D944A5">
      <w:pPr>
        <w:ind w:left="705" w:hanging="705"/>
        <w:jc w:val="both"/>
      </w:pPr>
    </w:p>
    <w:p w14:paraId="3362CCAE" w14:textId="2291B1D3" w:rsidR="00D944A5" w:rsidRDefault="00D944A5" w:rsidP="00D944A5">
      <w:pPr>
        <w:ind w:left="705" w:hanging="705"/>
        <w:jc w:val="both"/>
      </w:pPr>
      <w:r w:rsidRPr="00494507">
        <w:rPr>
          <w:b/>
          <w:bCs/>
        </w:rPr>
        <w:t>65</w:t>
      </w:r>
      <w:r w:rsidRPr="00E917D7">
        <w:tab/>
        <w:t>Povećanje prihoda u okviru ove šifre</w:t>
      </w:r>
      <w:r w:rsidR="00C4010D">
        <w:t xml:space="preserve"> iznosi 12.390.907,87 kn od čega je povećanje</w:t>
      </w:r>
      <w:r w:rsidRPr="00E917D7">
        <w:t xml:space="preserve"> u iznosu </w:t>
      </w:r>
      <w:r>
        <w:t>8</w:t>
      </w:r>
      <w:r w:rsidRPr="00E917D7">
        <w:t>.</w:t>
      </w:r>
      <w:r>
        <w:t>176</w:t>
      </w:r>
      <w:r w:rsidRPr="00E917D7">
        <w:t>.</w:t>
      </w:r>
      <w:r>
        <w:t>848</w:t>
      </w:r>
      <w:r w:rsidRPr="00E917D7">
        <w:t>,</w:t>
      </w:r>
      <w:r>
        <w:t>30</w:t>
      </w:r>
      <w:r w:rsidRPr="00E917D7">
        <w:t xml:space="preserve"> kn vezano</w:t>
      </w:r>
      <w:r w:rsidR="00C4010D">
        <w:t xml:space="preserve"> za prihode Grada, odnosno</w:t>
      </w:r>
      <w:r w:rsidRPr="00E917D7">
        <w:t xml:space="preserve"> gradske upravne pristojbe i druge naknade, sredstva šumskog doprinosa </w:t>
      </w:r>
      <w:r>
        <w:t>te</w:t>
      </w:r>
      <w:r w:rsidRPr="00E917D7">
        <w:t xml:space="preserve"> prvenstveno komunaln</w:t>
      </w:r>
      <w:r>
        <w:t>u</w:t>
      </w:r>
      <w:r w:rsidRPr="00E917D7">
        <w:t xml:space="preserve"> naknad</w:t>
      </w:r>
      <w:r>
        <w:t>u</w:t>
      </w:r>
      <w:r w:rsidRPr="00E917D7">
        <w:t xml:space="preserve"> koja raste uslijed povećanja vrijednosti boda komunalne naknade koje je u primjeni od 01.01.2022. </w:t>
      </w:r>
      <w:r>
        <w:t xml:space="preserve">U 2022. naplaćena je u iznosu 64.432.347,38 kn. </w:t>
      </w:r>
      <w:r w:rsidRPr="00E917D7">
        <w:t>Manje ostvarenje u okviru šifre 6522 rezultat je izmjene ekonomske klasifikacije iskazivanja 10% uplaćenog iznosa s osnova naplaćene vodne naknade (iskazuje se u okviru šifre 66).</w:t>
      </w:r>
      <w:r w:rsidR="00C4010D">
        <w:t xml:space="preserve"> Povećanje u okviru korisnika iznosi 4.214.059,57 kn</w:t>
      </w:r>
      <w:r w:rsidR="00772A94">
        <w:t>.</w:t>
      </w:r>
      <w:r w:rsidR="00772A94" w:rsidRPr="00772A94">
        <w:rPr>
          <w:bCs/>
        </w:rPr>
        <w:t xml:space="preserve"> </w:t>
      </w:r>
      <w:r w:rsidR="00772A94">
        <w:rPr>
          <w:bCs/>
        </w:rPr>
        <w:t>Osnovne škole unutar ovih prihoda knjiže prihod za školsku kuhinju, produženi boravak i slično, dok Dječji vrtić Osijek iskazuje prihode od sufinanciranja roditelja.</w:t>
      </w:r>
      <w:r w:rsidR="00772A94" w:rsidRPr="00772A94">
        <w:rPr>
          <w:rFonts w:ascii="Calibri Light" w:hAnsi="Calibri Light" w:cs="Calibri Light"/>
        </w:rPr>
        <w:t xml:space="preserve"> </w:t>
      </w:r>
      <w:r w:rsidR="00772A94" w:rsidRPr="00772A94">
        <w:t>Ukupno povećanje prihoda</w:t>
      </w:r>
      <w:r w:rsidR="00772A94">
        <w:t xml:space="preserve"> dječjeg vrtića</w:t>
      </w:r>
      <w:r w:rsidR="00772A94" w:rsidRPr="00772A94">
        <w:t xml:space="preserve"> u odnosu na 2021. godinu je 994.351,14 kn </w:t>
      </w:r>
      <w:r w:rsidR="00772A94">
        <w:t xml:space="preserve">i </w:t>
      </w:r>
      <w:r w:rsidR="00772A94" w:rsidRPr="00772A94">
        <w:t>najvećim dijelom odnos</w:t>
      </w:r>
      <w:r w:rsidR="00772A94">
        <w:t>i</w:t>
      </w:r>
      <w:r w:rsidR="00772A94" w:rsidRPr="00772A94">
        <w:t xml:space="preserve"> se na uplate od roditelja, jer je u  2021.</w:t>
      </w:r>
      <w:r w:rsidR="00772A94">
        <w:t xml:space="preserve"> prihod bio manji uslijed</w:t>
      </w:r>
      <w:r w:rsidR="00772A94" w:rsidRPr="00772A94">
        <w:t xml:space="preserve"> epidemije COVID-a 19. </w:t>
      </w:r>
      <w:r w:rsidR="00772A94">
        <w:t>Tu su i</w:t>
      </w:r>
      <w:r w:rsidR="00772A94" w:rsidRPr="00772A94">
        <w:t xml:space="preserve"> uplate za stručne ispite u iznosu od 254.431,00 kn</w:t>
      </w:r>
      <w:r w:rsidR="00772A94">
        <w:t>.</w:t>
      </w:r>
    </w:p>
    <w:p w14:paraId="4A5FBB9A" w14:textId="46799CB2" w:rsidR="00DE0E6B" w:rsidRPr="00DE0E6B" w:rsidRDefault="00DE0E6B" w:rsidP="00D944A5">
      <w:pPr>
        <w:ind w:left="705" w:hanging="705"/>
        <w:jc w:val="both"/>
      </w:pPr>
      <w:r>
        <w:rPr>
          <w:b/>
          <w:bCs/>
        </w:rPr>
        <w:tab/>
      </w:r>
      <w:r w:rsidRPr="00DE0E6B">
        <w:t xml:space="preserve">Povećanje prihoda </w:t>
      </w:r>
      <w:r>
        <w:t>H</w:t>
      </w:r>
      <w:r w:rsidRPr="00DE0E6B">
        <w:t>rvatskog narodnog kazališta u Osijeku iznosi 516.212,87</w:t>
      </w:r>
      <w:r>
        <w:t xml:space="preserve"> kn u odnosu na </w:t>
      </w:r>
      <w:proofErr w:type="spellStart"/>
      <w:r>
        <w:t>pandemijsku</w:t>
      </w:r>
      <w:proofErr w:type="spellEnd"/>
      <w:r>
        <w:t xml:space="preserve"> 2021. Preostali iznos uglavnom se odnosi na osnovne škole, odnosno sufinanciranje produženog boravka od strane roditelja</w:t>
      </w:r>
      <w:r w:rsidR="00BF7996">
        <w:t xml:space="preserve"> čija je cijena povećana u 2022</w:t>
      </w:r>
      <w:r>
        <w:t>.</w:t>
      </w:r>
    </w:p>
    <w:p w14:paraId="07A5645A" w14:textId="77777777" w:rsidR="00772A94" w:rsidRPr="00772A94" w:rsidRDefault="00772A94" w:rsidP="00D944A5">
      <w:pPr>
        <w:ind w:left="705" w:hanging="705"/>
        <w:jc w:val="both"/>
      </w:pPr>
    </w:p>
    <w:p w14:paraId="70531137" w14:textId="55B784F0" w:rsidR="00D944A5" w:rsidRDefault="00D944A5" w:rsidP="00D944A5">
      <w:pPr>
        <w:ind w:left="705" w:hanging="705"/>
        <w:jc w:val="both"/>
      </w:pPr>
      <w:r w:rsidRPr="00494507">
        <w:rPr>
          <w:b/>
          <w:bCs/>
        </w:rPr>
        <w:t>66</w:t>
      </w:r>
      <w:r w:rsidRPr="00E917D7">
        <w:tab/>
        <w:t xml:space="preserve">Povećanje prihoda u okviru ove šifre </w:t>
      </w:r>
      <w:r w:rsidR="00772A94">
        <w:t xml:space="preserve"> iznosi 3.390.933,20 kn od čega je </w:t>
      </w:r>
      <w:r w:rsidRPr="00E917D7">
        <w:t>2.</w:t>
      </w:r>
      <w:r>
        <w:t>826</w:t>
      </w:r>
      <w:r w:rsidRPr="00E917D7">
        <w:t>.</w:t>
      </w:r>
      <w:r>
        <w:t>387</w:t>
      </w:r>
      <w:r w:rsidRPr="00E917D7">
        <w:t>,</w:t>
      </w:r>
      <w:r>
        <w:t>14</w:t>
      </w:r>
      <w:r w:rsidRPr="00E917D7">
        <w:t xml:space="preserve"> kn vezan</w:t>
      </w:r>
      <w:r w:rsidR="00772A94">
        <w:t>o za Grad Osijek, odnosno</w:t>
      </w:r>
      <w:r w:rsidRPr="00E917D7">
        <w:t xml:space="preserve"> navedenu tehničku izmjenu i spomenuto iskazivanje 10% uplaćenog iznosa s osnova naplaćene vodne naknade na kontu 6615</w:t>
      </w:r>
      <w:r w:rsidR="00DE0E6B">
        <w:t>,</w:t>
      </w:r>
      <w:r w:rsidRPr="00E917D7">
        <w:t xml:space="preserve"> kao i ostvarenih prihoda s osnova prodanih ulaznica na novouređenom objektu kupališta </w:t>
      </w:r>
      <w:proofErr w:type="spellStart"/>
      <w:r w:rsidRPr="00E917D7">
        <w:t>Copacabana</w:t>
      </w:r>
      <w:proofErr w:type="spellEnd"/>
      <w:r w:rsidRPr="00E917D7">
        <w:t xml:space="preserve"> u iznosu 446.760,00 kn</w:t>
      </w:r>
      <w:r w:rsidR="00DE0E6B">
        <w:t>,</w:t>
      </w:r>
      <w:r w:rsidRPr="00E917D7">
        <w:t xml:space="preserve"> kapitalnih donacija u iznosu 287.326,66 kn u okviru projekta CB-NET</w:t>
      </w:r>
      <w:r>
        <w:t xml:space="preserve"> te 234.432,08 kn od Donna Tenis Team za uređenje teniskog igrališta u školi Grigor Vitez.</w:t>
      </w:r>
      <w:r w:rsidR="00DE0E6B">
        <w:t xml:space="preserve"> Preostali iznos od 564.546,86 kn vezan je za proračunske korisnike</w:t>
      </w:r>
      <w:r w:rsidR="00BF7996">
        <w:t xml:space="preserve"> (prihodi od najma dvorana i pružanja usluga).</w:t>
      </w:r>
    </w:p>
    <w:p w14:paraId="034037F1" w14:textId="77777777" w:rsidR="00DE0E6B" w:rsidRPr="00E917D7" w:rsidRDefault="00DE0E6B" w:rsidP="00D944A5">
      <w:pPr>
        <w:ind w:left="705" w:hanging="705"/>
        <w:jc w:val="both"/>
      </w:pPr>
    </w:p>
    <w:p w14:paraId="3DC85B4C" w14:textId="42340E76" w:rsidR="00D944A5" w:rsidRPr="00E917D7" w:rsidRDefault="00D944A5" w:rsidP="00D944A5">
      <w:pPr>
        <w:ind w:left="705" w:hanging="705"/>
        <w:jc w:val="both"/>
      </w:pPr>
      <w:r w:rsidRPr="00494507">
        <w:rPr>
          <w:b/>
          <w:bCs/>
        </w:rPr>
        <w:t>68</w:t>
      </w:r>
      <w:r w:rsidRPr="00E917D7">
        <w:tab/>
        <w:t xml:space="preserve">Naplata kazni i ostalih prihoda u predmetnom razdoblju iznosi </w:t>
      </w:r>
      <w:r w:rsidR="00DE0E6B">
        <w:t xml:space="preserve">6.457.319,58 kn od čega je Grad Osijek </w:t>
      </w:r>
      <w:r>
        <w:t>6</w:t>
      </w:r>
      <w:r w:rsidRPr="00E917D7">
        <w:t>.</w:t>
      </w:r>
      <w:r>
        <w:t>108</w:t>
      </w:r>
      <w:r w:rsidRPr="00E917D7">
        <w:t>.</w:t>
      </w:r>
      <w:r>
        <w:t>263</w:t>
      </w:r>
      <w:r w:rsidRPr="00E917D7">
        <w:t>,</w:t>
      </w:r>
      <w:r>
        <w:t>28</w:t>
      </w:r>
      <w:r w:rsidRPr="00E917D7">
        <w:t xml:space="preserve"> kn</w:t>
      </w:r>
      <w:r w:rsidR="00DE0E6B">
        <w:t>. Ovi prihodi veći su</w:t>
      </w:r>
      <w:r w:rsidRPr="00E917D7">
        <w:t xml:space="preserve"> za </w:t>
      </w:r>
      <w:r>
        <w:t>4</w:t>
      </w:r>
      <w:r w:rsidRPr="00E917D7">
        <w:t>.</w:t>
      </w:r>
      <w:r w:rsidR="00DE0E6B">
        <w:t>507</w:t>
      </w:r>
      <w:r w:rsidRPr="00E917D7">
        <w:t>.</w:t>
      </w:r>
      <w:r w:rsidR="00DE0E6B">
        <w:t>399</w:t>
      </w:r>
      <w:r w:rsidRPr="00E917D7">
        <w:t>,</w:t>
      </w:r>
      <w:r w:rsidR="00DE0E6B">
        <w:t>58</w:t>
      </w:r>
      <w:r w:rsidRPr="00E917D7">
        <w:t xml:space="preserve"> kn ili </w:t>
      </w:r>
      <w:r>
        <w:t>3</w:t>
      </w:r>
      <w:r w:rsidR="00DE0E6B">
        <w:t>31</w:t>
      </w:r>
      <w:r w:rsidRPr="00E917D7">
        <w:t>,</w:t>
      </w:r>
      <w:r w:rsidR="00DE0E6B">
        <w:t>2</w:t>
      </w:r>
      <w:r w:rsidRPr="00E917D7">
        <w:t xml:space="preserve">% u odnosu na prethodnu godinu. Vidljiv je značajan rast naplaćenih komunalnih i prometnih kazni. Iste su ostvarene u iznosu od </w:t>
      </w:r>
      <w:r>
        <w:t>2</w:t>
      </w:r>
      <w:r w:rsidRPr="00E917D7">
        <w:t>.</w:t>
      </w:r>
      <w:r>
        <w:t>223</w:t>
      </w:r>
      <w:r w:rsidRPr="00E917D7">
        <w:t>.</w:t>
      </w:r>
      <w:r>
        <w:t>490</w:t>
      </w:r>
      <w:r w:rsidRPr="00E917D7">
        <w:t>,</w:t>
      </w:r>
      <w:r>
        <w:t>71</w:t>
      </w:r>
      <w:r w:rsidRPr="00E917D7">
        <w:t xml:space="preserve"> kn. U okviru </w:t>
      </w:r>
      <w:r>
        <w:t xml:space="preserve">šifre 683 iskazani su prihodi temeljem prijenosa na prihode nepovratne jamčevine tvrtke Panteon Jela u iznosu 1.030.591,69 kn. U okviru </w:t>
      </w:r>
      <w:r w:rsidRPr="00E917D7">
        <w:t>ovih prihoda u 2022. iskazana</w:t>
      </w:r>
      <w:r>
        <w:t xml:space="preserve"> su sredstva Osječko-baranjske županije temeljem ugovora o izgradnji pristupne ceste za Gospodarski centar u iznosu 1</w:t>
      </w:r>
      <w:r w:rsidR="00630781">
        <w:t>.</w:t>
      </w:r>
      <w:r>
        <w:t>426.638,80 kn te</w:t>
      </w:r>
      <w:r w:rsidRPr="00E917D7">
        <w:t xml:space="preserve"> refundacija materijalnih troškova i troškova poštanskih usluga od strane Hrvatskih voda za vođenje poslova evidentiranja i naplate vodne naknade u iznosu </w:t>
      </w:r>
      <w:r>
        <w:t>336</w:t>
      </w:r>
      <w:r w:rsidRPr="00E917D7">
        <w:t>.</w:t>
      </w:r>
      <w:r>
        <w:t>805</w:t>
      </w:r>
      <w:r w:rsidRPr="00E917D7">
        <w:t>,</w:t>
      </w:r>
      <w:r>
        <w:t>06</w:t>
      </w:r>
      <w:r w:rsidRPr="00E917D7">
        <w:t xml:space="preserve"> kn.</w:t>
      </w:r>
      <w:r>
        <w:t xml:space="preserve"> Nadalje, u okviru ovih prihoda iskazani su ostali gradski prihodi, povrati u gradski proračun, naknade za neizgrađena parkirališta i dr.</w:t>
      </w:r>
    </w:p>
    <w:p w14:paraId="6744C54E" w14:textId="77777777" w:rsidR="00B41640" w:rsidRPr="00C83FE2" w:rsidRDefault="00B41640" w:rsidP="004C67BE">
      <w:pPr>
        <w:jc w:val="both"/>
        <w:rPr>
          <w:iCs/>
          <w:highlight w:val="yellow"/>
        </w:rPr>
      </w:pPr>
    </w:p>
    <w:p w14:paraId="3D1E9762" w14:textId="77777777" w:rsidR="00547A78" w:rsidRPr="00C83FE2" w:rsidRDefault="00547A78">
      <w:pPr>
        <w:spacing w:after="200" w:line="276" w:lineRule="auto"/>
        <w:rPr>
          <w:b/>
          <w:iCs/>
          <w:highlight w:val="yellow"/>
        </w:rPr>
      </w:pPr>
    </w:p>
    <w:p w14:paraId="2DBD6313" w14:textId="77777777" w:rsidR="00263409" w:rsidRPr="00547A78" w:rsidRDefault="00263409" w:rsidP="001976BB">
      <w:pPr>
        <w:ind w:firstLine="708"/>
        <w:jc w:val="both"/>
        <w:rPr>
          <w:b/>
          <w:iCs/>
        </w:rPr>
      </w:pPr>
      <w:r w:rsidRPr="00547A78">
        <w:rPr>
          <w:b/>
          <w:iCs/>
        </w:rPr>
        <w:t>Rashodi poslovanja</w:t>
      </w:r>
    </w:p>
    <w:p w14:paraId="558E9390" w14:textId="77777777" w:rsidR="00263409" w:rsidRPr="00C83FE2" w:rsidRDefault="00263409" w:rsidP="001976BB">
      <w:pPr>
        <w:ind w:firstLine="708"/>
        <w:jc w:val="both"/>
        <w:rPr>
          <w:iCs/>
          <w:highlight w:val="yellow"/>
        </w:rPr>
      </w:pPr>
    </w:p>
    <w:p w14:paraId="59BFD5F9" w14:textId="7597EE26" w:rsidR="000321BE" w:rsidRPr="00F85485" w:rsidRDefault="00BF2B8F" w:rsidP="001976BB">
      <w:pPr>
        <w:ind w:firstLine="708"/>
        <w:jc w:val="both"/>
        <w:rPr>
          <w:iCs/>
        </w:rPr>
      </w:pPr>
      <w:r w:rsidRPr="00F85485">
        <w:rPr>
          <w:iCs/>
        </w:rPr>
        <w:t>Rashodi poslovanja u 20</w:t>
      </w:r>
      <w:r w:rsidR="003B61FB" w:rsidRPr="00F85485">
        <w:rPr>
          <w:iCs/>
        </w:rPr>
        <w:t>2</w:t>
      </w:r>
      <w:r w:rsidR="00D944A5">
        <w:rPr>
          <w:iCs/>
        </w:rPr>
        <w:t>2</w:t>
      </w:r>
      <w:r w:rsidRPr="00F85485">
        <w:rPr>
          <w:iCs/>
        </w:rPr>
        <w:t xml:space="preserve">. iznose </w:t>
      </w:r>
      <w:r w:rsidR="00E5468D">
        <w:rPr>
          <w:iCs/>
        </w:rPr>
        <w:t>639</w:t>
      </w:r>
      <w:r w:rsidR="00CB31FE">
        <w:rPr>
          <w:iCs/>
        </w:rPr>
        <w:t>.</w:t>
      </w:r>
      <w:r w:rsidR="00E5468D">
        <w:rPr>
          <w:iCs/>
        </w:rPr>
        <w:t>011</w:t>
      </w:r>
      <w:r w:rsidR="00CB31FE">
        <w:rPr>
          <w:iCs/>
        </w:rPr>
        <w:t>.</w:t>
      </w:r>
      <w:r w:rsidR="00E5468D">
        <w:rPr>
          <w:iCs/>
        </w:rPr>
        <w:t>559</w:t>
      </w:r>
      <w:r w:rsidR="00CB31FE">
        <w:rPr>
          <w:iCs/>
        </w:rPr>
        <w:t>,</w:t>
      </w:r>
      <w:r w:rsidR="00E5468D">
        <w:rPr>
          <w:iCs/>
        </w:rPr>
        <w:t>82</w:t>
      </w:r>
      <w:r w:rsidRPr="00F85485">
        <w:rPr>
          <w:iCs/>
        </w:rPr>
        <w:t xml:space="preserve"> kn što je za </w:t>
      </w:r>
      <w:r w:rsidR="00E5468D">
        <w:rPr>
          <w:iCs/>
        </w:rPr>
        <w:t>53</w:t>
      </w:r>
      <w:r w:rsidR="00FB3D45">
        <w:rPr>
          <w:iCs/>
        </w:rPr>
        <w:t>.</w:t>
      </w:r>
      <w:r w:rsidR="00E5468D">
        <w:rPr>
          <w:iCs/>
        </w:rPr>
        <w:t>132</w:t>
      </w:r>
      <w:r w:rsidR="00FB3D45">
        <w:rPr>
          <w:iCs/>
        </w:rPr>
        <w:t>.</w:t>
      </w:r>
      <w:r w:rsidR="00E5468D">
        <w:rPr>
          <w:iCs/>
        </w:rPr>
        <w:t>463</w:t>
      </w:r>
      <w:r w:rsidR="00FB3D45">
        <w:rPr>
          <w:iCs/>
        </w:rPr>
        <w:t>,</w:t>
      </w:r>
      <w:r w:rsidR="00E5468D">
        <w:rPr>
          <w:iCs/>
        </w:rPr>
        <w:t>82</w:t>
      </w:r>
      <w:r w:rsidRPr="00F85485">
        <w:rPr>
          <w:iCs/>
        </w:rPr>
        <w:t xml:space="preserve"> kn </w:t>
      </w:r>
      <w:r w:rsidR="00E5468D">
        <w:rPr>
          <w:iCs/>
        </w:rPr>
        <w:t>više</w:t>
      </w:r>
      <w:r w:rsidRPr="00F85485">
        <w:rPr>
          <w:iCs/>
        </w:rPr>
        <w:t xml:space="preserve"> u odnosu na 20</w:t>
      </w:r>
      <w:r w:rsidR="00175001" w:rsidRPr="00F85485">
        <w:rPr>
          <w:iCs/>
        </w:rPr>
        <w:t>2</w:t>
      </w:r>
      <w:r w:rsidR="00595824">
        <w:rPr>
          <w:iCs/>
        </w:rPr>
        <w:t>1</w:t>
      </w:r>
      <w:r w:rsidR="000321BE" w:rsidRPr="00F85485">
        <w:rPr>
          <w:iCs/>
        </w:rPr>
        <w:t>.</w:t>
      </w:r>
      <w:r w:rsidR="008B3A13" w:rsidRPr="00F85485">
        <w:rPr>
          <w:iCs/>
        </w:rPr>
        <w:t xml:space="preserve"> </w:t>
      </w:r>
    </w:p>
    <w:p w14:paraId="2F80A96B" w14:textId="77777777" w:rsidR="004966D7" w:rsidRPr="00C83FE2" w:rsidRDefault="004966D7" w:rsidP="001976BB">
      <w:pPr>
        <w:ind w:firstLine="708"/>
        <w:jc w:val="both"/>
        <w:rPr>
          <w:iCs/>
          <w:highlight w:val="yellow"/>
        </w:rPr>
      </w:pPr>
    </w:p>
    <w:p w14:paraId="75F0404A" w14:textId="6463286F" w:rsidR="000321BE" w:rsidRDefault="00017C72" w:rsidP="000321BE">
      <w:pPr>
        <w:ind w:firstLine="708"/>
        <w:jc w:val="both"/>
        <w:rPr>
          <w:iCs/>
        </w:rPr>
      </w:pPr>
      <w:r w:rsidRPr="00F85485">
        <w:rPr>
          <w:iCs/>
        </w:rPr>
        <w:t>R</w:t>
      </w:r>
      <w:r w:rsidR="009072E5" w:rsidRPr="00F85485">
        <w:rPr>
          <w:iCs/>
        </w:rPr>
        <w:t>ashod</w:t>
      </w:r>
      <w:r w:rsidRPr="00F85485">
        <w:rPr>
          <w:iCs/>
        </w:rPr>
        <w:t>i</w:t>
      </w:r>
      <w:r w:rsidR="000321BE" w:rsidRPr="00F85485">
        <w:rPr>
          <w:iCs/>
        </w:rPr>
        <w:t xml:space="preserve"> poslovanja Grada</w:t>
      </w:r>
      <w:r w:rsidRPr="00F85485">
        <w:rPr>
          <w:iCs/>
        </w:rPr>
        <w:t xml:space="preserve"> Osijeka</w:t>
      </w:r>
      <w:r w:rsidR="000321BE" w:rsidRPr="00F85485">
        <w:rPr>
          <w:iCs/>
        </w:rPr>
        <w:t xml:space="preserve"> i proračunskih korisnika</w:t>
      </w:r>
      <w:r w:rsidR="005643B4" w:rsidRPr="00F85485">
        <w:rPr>
          <w:iCs/>
        </w:rPr>
        <w:t xml:space="preserve"> u  202</w:t>
      </w:r>
      <w:r w:rsidR="00595824">
        <w:rPr>
          <w:iCs/>
        </w:rPr>
        <w:t>2</w:t>
      </w:r>
      <w:r w:rsidR="005643B4" w:rsidRPr="00F85485">
        <w:rPr>
          <w:iCs/>
        </w:rPr>
        <w:t>.</w:t>
      </w:r>
      <w:r w:rsidR="000321BE" w:rsidRPr="00F85485">
        <w:rPr>
          <w:iCs/>
        </w:rPr>
        <w:t xml:space="preserve"> </w:t>
      </w:r>
      <w:r w:rsidRPr="00F85485">
        <w:rPr>
          <w:iCs/>
        </w:rPr>
        <w:t>dani su u nastavku: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75"/>
        <w:gridCol w:w="1629"/>
      </w:tblGrid>
      <w:tr w:rsidR="00E5468D" w:rsidRPr="00B62B02" w14:paraId="201F1D7C" w14:textId="77777777" w:rsidTr="00AD260D">
        <w:trPr>
          <w:trHeight w:val="615"/>
        </w:trPr>
        <w:tc>
          <w:tcPr>
            <w:tcW w:w="41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76B5F" w14:textId="77777777" w:rsidR="00E5468D" w:rsidRPr="00B62B02" w:rsidRDefault="00E5468D" w:rsidP="00AD26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Razred 3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0EC819" w14:textId="77777777" w:rsidR="00E5468D" w:rsidRPr="00B62B02" w:rsidRDefault="00E5468D" w:rsidP="00AD26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31.12.202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Pr="00B62B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B62B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HRK</w:t>
            </w:r>
          </w:p>
        </w:tc>
      </w:tr>
      <w:tr w:rsidR="00E5468D" w:rsidRPr="00B62B02" w14:paraId="1A76ACBD" w14:textId="77777777" w:rsidTr="00AD260D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E394" w14:textId="77777777" w:rsidR="00E5468D" w:rsidRPr="00B62B02" w:rsidRDefault="00E5468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Grad Osijek (uključujući vijeća nacionalnih manjina)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942E" w14:textId="77777777" w:rsidR="00E5468D" w:rsidRPr="00B62B02" w:rsidRDefault="00E5468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422.031.095,83</w:t>
            </w:r>
          </w:p>
        </w:tc>
      </w:tr>
      <w:tr w:rsidR="00E5468D" w:rsidRPr="00B62B02" w14:paraId="4414264B" w14:textId="77777777" w:rsidTr="00AD260D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843C" w14:textId="77777777" w:rsidR="00E5468D" w:rsidRPr="00B62B02" w:rsidRDefault="00E5468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Hrvatsko narodno kazalište u Osijeku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C6C4" w14:textId="77777777" w:rsidR="00E5468D" w:rsidRPr="00B62B02" w:rsidRDefault="00E5468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30.611.652,84</w:t>
            </w:r>
          </w:p>
        </w:tc>
      </w:tr>
      <w:tr w:rsidR="00E5468D" w:rsidRPr="00B62B02" w14:paraId="7A2874C9" w14:textId="77777777" w:rsidTr="00AD260D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E3F6" w14:textId="77777777" w:rsidR="00E5468D" w:rsidRPr="00B62B02" w:rsidRDefault="00E5468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Dječje kazalište Branka Mihaljevića u Osijeku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309B" w14:textId="77777777" w:rsidR="00E5468D" w:rsidRPr="00B62B02" w:rsidRDefault="00E5468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6.445.713,36</w:t>
            </w:r>
          </w:p>
        </w:tc>
      </w:tr>
      <w:tr w:rsidR="00E5468D" w:rsidRPr="00B62B02" w14:paraId="6F6E26B8" w14:textId="77777777" w:rsidTr="00AD260D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31FC" w14:textId="77777777" w:rsidR="00E5468D" w:rsidRPr="00B62B02" w:rsidRDefault="00E5468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Gradske galerije Osijek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9133" w14:textId="77777777" w:rsidR="00E5468D" w:rsidRPr="00B62B02" w:rsidRDefault="00E5468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891.383,08</w:t>
            </w:r>
          </w:p>
        </w:tc>
      </w:tr>
      <w:tr w:rsidR="00E5468D" w:rsidRPr="00B62B02" w14:paraId="6F3417F0" w14:textId="77777777" w:rsidTr="00AD260D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4ED6" w14:textId="77777777" w:rsidR="00E5468D" w:rsidRPr="00B62B02" w:rsidRDefault="00E5468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Dječji vrtić Osijek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5A76" w14:textId="77777777" w:rsidR="00E5468D" w:rsidRPr="00B62B02" w:rsidRDefault="00E5468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69.482.852,90</w:t>
            </w:r>
          </w:p>
        </w:tc>
      </w:tr>
      <w:tr w:rsidR="00E5468D" w:rsidRPr="00B62B02" w14:paraId="34F32ACB" w14:textId="77777777" w:rsidTr="00AD260D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3F6F" w14:textId="77777777" w:rsidR="00E5468D" w:rsidRPr="00B62B02" w:rsidRDefault="00E5468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Javna vatrogasna postrojba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958DF" w14:textId="77777777" w:rsidR="00E5468D" w:rsidRPr="00B62B02" w:rsidRDefault="00E5468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17.982.514,47</w:t>
            </w:r>
          </w:p>
        </w:tc>
      </w:tr>
      <w:tr w:rsidR="00E5468D" w:rsidRPr="00B62B02" w14:paraId="2B4E3AFE" w14:textId="77777777" w:rsidTr="00AD260D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8808" w14:textId="77777777" w:rsidR="00E5468D" w:rsidRPr="00B62B02" w:rsidRDefault="00E5468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Agencija za obnovu osječke Tvrđe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9663" w14:textId="77777777" w:rsidR="00E5468D" w:rsidRPr="00B62B02" w:rsidRDefault="00E5468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1.504.646,38</w:t>
            </w:r>
          </w:p>
        </w:tc>
      </w:tr>
      <w:tr w:rsidR="00E5468D" w:rsidRPr="00B62B02" w14:paraId="6FBE3462" w14:textId="77777777" w:rsidTr="00AD260D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F2BE" w14:textId="77777777" w:rsidR="00E5468D" w:rsidRPr="00B62B02" w:rsidRDefault="00E5468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Kulturni centar Osijek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6660" w14:textId="77777777" w:rsidR="00E5468D" w:rsidRPr="00B62B02" w:rsidRDefault="00E5468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6.656.998,07</w:t>
            </w:r>
          </w:p>
        </w:tc>
      </w:tr>
      <w:tr w:rsidR="00E5468D" w:rsidRPr="00B62B02" w14:paraId="01434CD4" w14:textId="77777777" w:rsidTr="00AD260D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86B0" w14:textId="77777777" w:rsidR="00E5468D" w:rsidRPr="00B62B02" w:rsidRDefault="00E5468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Vladimir Becić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0E25" w14:textId="77777777" w:rsidR="00E5468D" w:rsidRPr="00B62B02" w:rsidRDefault="00E5468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7.543.664,49</w:t>
            </w:r>
          </w:p>
        </w:tc>
      </w:tr>
      <w:tr w:rsidR="00E5468D" w:rsidRPr="00B62B02" w14:paraId="17C6E51A" w14:textId="77777777" w:rsidTr="00AD260D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71B04" w14:textId="77777777" w:rsidR="00E5468D" w:rsidRPr="00B62B02" w:rsidRDefault="00E5468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Ivan Filipović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42330" w14:textId="77777777" w:rsidR="00E5468D" w:rsidRPr="00B62B02" w:rsidRDefault="00E5468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10.412.949,98</w:t>
            </w:r>
          </w:p>
        </w:tc>
      </w:tr>
      <w:tr w:rsidR="00E5468D" w:rsidRPr="00B62B02" w14:paraId="6FFE1D95" w14:textId="77777777" w:rsidTr="00AD260D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DB74" w14:textId="77777777" w:rsidR="00E5468D" w:rsidRPr="00B62B02" w:rsidRDefault="00E5468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Dobriša Cesarić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D625" w14:textId="77777777" w:rsidR="00E5468D" w:rsidRPr="00B62B02" w:rsidRDefault="00E5468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8.142.474,34</w:t>
            </w:r>
          </w:p>
        </w:tc>
      </w:tr>
      <w:tr w:rsidR="00E5468D" w:rsidRPr="00B62B02" w14:paraId="0B6A1C58" w14:textId="77777777" w:rsidTr="00AD260D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DCA9" w14:textId="77777777" w:rsidR="00E5468D" w:rsidRPr="00B62B02" w:rsidRDefault="00E5468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Grigor Vitez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F8DD" w14:textId="77777777" w:rsidR="00E5468D" w:rsidRPr="00B62B02" w:rsidRDefault="00E5468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7.651.179,72</w:t>
            </w:r>
          </w:p>
        </w:tc>
      </w:tr>
      <w:tr w:rsidR="00E5468D" w:rsidRPr="00B62B02" w14:paraId="0E4099B7" w14:textId="77777777" w:rsidTr="00AD260D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0F39" w14:textId="77777777" w:rsidR="00E5468D" w:rsidRPr="00B62B02" w:rsidRDefault="00E5468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Višnjevac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BA78" w14:textId="77777777" w:rsidR="00E5468D" w:rsidRPr="00B62B02" w:rsidRDefault="00E5468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11.229.537,90</w:t>
            </w:r>
          </w:p>
        </w:tc>
      </w:tr>
      <w:tr w:rsidR="00E5468D" w:rsidRPr="00B62B02" w14:paraId="5E1CE3FC" w14:textId="77777777" w:rsidTr="00AD260D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B3C1" w14:textId="77777777" w:rsidR="00E5468D" w:rsidRPr="00B62B02" w:rsidRDefault="00E5468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Vijenac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EEBE" w14:textId="77777777" w:rsidR="00E5468D" w:rsidRPr="00B62B02" w:rsidRDefault="00E5468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7.172.679,56</w:t>
            </w:r>
          </w:p>
        </w:tc>
      </w:tr>
      <w:tr w:rsidR="00E5468D" w:rsidRPr="00B62B02" w14:paraId="2C00A336" w14:textId="77777777" w:rsidTr="00AD260D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2938" w14:textId="77777777" w:rsidR="00E5468D" w:rsidRPr="00B62B02" w:rsidRDefault="00E5468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Tin Ujević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07B0" w14:textId="77777777" w:rsidR="00E5468D" w:rsidRPr="00B62B02" w:rsidRDefault="00E5468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10.436.443,27</w:t>
            </w:r>
          </w:p>
        </w:tc>
      </w:tr>
      <w:tr w:rsidR="00E5468D" w:rsidRPr="00B62B02" w14:paraId="0A6530A7" w14:textId="77777777" w:rsidTr="00AD260D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11E7" w14:textId="77777777" w:rsidR="00E5468D" w:rsidRPr="00B62B02" w:rsidRDefault="00E5468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OŠ Jagoda </w:t>
            </w:r>
            <w:proofErr w:type="spellStart"/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Truhelka</w:t>
            </w:r>
            <w:proofErr w:type="spellEnd"/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A91B" w14:textId="77777777" w:rsidR="00E5468D" w:rsidRPr="00B62B02" w:rsidRDefault="00E5468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10.240.602,39</w:t>
            </w:r>
          </w:p>
        </w:tc>
      </w:tr>
      <w:tr w:rsidR="00E5468D" w:rsidRPr="00B62B02" w14:paraId="02DAAA7D" w14:textId="77777777" w:rsidTr="00AD260D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20DA" w14:textId="77777777" w:rsidR="00E5468D" w:rsidRPr="00B62B02" w:rsidRDefault="00E5468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Tenja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12F26" w14:textId="77777777" w:rsidR="00E5468D" w:rsidRPr="00B62B02" w:rsidRDefault="00E5468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12.472.851,64</w:t>
            </w:r>
          </w:p>
        </w:tc>
      </w:tr>
      <w:tr w:rsidR="00E5468D" w:rsidRPr="00B62B02" w14:paraId="377BD3DD" w14:textId="77777777" w:rsidTr="00AD260D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1D2F" w14:textId="77777777" w:rsidR="00E5468D" w:rsidRPr="00B62B02" w:rsidRDefault="00E5468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Centar Ivan Štark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4827" w14:textId="77777777" w:rsidR="00E5468D" w:rsidRPr="00B62B02" w:rsidRDefault="00E5468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15.724.608,45</w:t>
            </w:r>
          </w:p>
        </w:tc>
      </w:tr>
      <w:tr w:rsidR="00E5468D" w:rsidRPr="00B62B02" w14:paraId="671E5D03" w14:textId="77777777" w:rsidTr="00AD260D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9B01" w14:textId="77777777" w:rsidR="00E5468D" w:rsidRPr="00B62B02" w:rsidRDefault="00E5468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Augusta Šenoe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4769" w14:textId="77777777" w:rsidR="00E5468D" w:rsidRPr="00B62B02" w:rsidRDefault="00E5468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6.921.775,15</w:t>
            </w:r>
          </w:p>
        </w:tc>
      </w:tr>
      <w:tr w:rsidR="00E5468D" w:rsidRPr="00B62B02" w14:paraId="267165C7" w14:textId="77777777" w:rsidTr="00AD260D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31C13" w14:textId="77777777" w:rsidR="00E5468D" w:rsidRPr="00B62B02" w:rsidRDefault="00E5468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Svete Ane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D288" w14:textId="77777777" w:rsidR="00E5468D" w:rsidRPr="00B62B02" w:rsidRDefault="00E5468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7.876.895,66</w:t>
            </w:r>
          </w:p>
        </w:tc>
      </w:tr>
      <w:tr w:rsidR="00E5468D" w:rsidRPr="00B62B02" w14:paraId="243778AC" w14:textId="77777777" w:rsidTr="00AD260D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49E0" w14:textId="77777777" w:rsidR="00E5468D" w:rsidRPr="00B62B02" w:rsidRDefault="00E5468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Prosvjetno kulturni centar Mađara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F443" w14:textId="77777777" w:rsidR="00E5468D" w:rsidRPr="00B62B02" w:rsidRDefault="00E5468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11.559.089,23</w:t>
            </w:r>
          </w:p>
        </w:tc>
      </w:tr>
      <w:tr w:rsidR="00E5468D" w:rsidRPr="00B62B02" w14:paraId="28DBFAAD" w14:textId="77777777" w:rsidTr="00AD260D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1926" w14:textId="77777777" w:rsidR="00E5468D" w:rsidRPr="00B62B02" w:rsidRDefault="00E5468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Mladost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ACFA0" w14:textId="77777777" w:rsidR="00E5468D" w:rsidRPr="00B62B02" w:rsidRDefault="00E5468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10.534.473,64</w:t>
            </w:r>
          </w:p>
        </w:tc>
      </w:tr>
      <w:tr w:rsidR="00E5468D" w:rsidRPr="00B62B02" w14:paraId="3C9BF52C" w14:textId="77777777" w:rsidTr="00AD260D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989D" w14:textId="77777777" w:rsidR="00E5468D" w:rsidRPr="00B62B02" w:rsidRDefault="00E5468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Josipovac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89BD" w14:textId="77777777" w:rsidR="00E5468D" w:rsidRPr="00B62B02" w:rsidRDefault="00E5468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6.685.624,43</w:t>
            </w:r>
          </w:p>
        </w:tc>
      </w:tr>
      <w:tr w:rsidR="00E5468D" w:rsidRPr="00B62B02" w14:paraId="08004D0A" w14:textId="77777777" w:rsidTr="00AD260D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66D6" w14:textId="77777777" w:rsidR="00E5468D" w:rsidRPr="00B62B02" w:rsidRDefault="00E5468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Ljudevita Gaja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AEF04" w14:textId="77777777" w:rsidR="00E5468D" w:rsidRPr="00B62B02" w:rsidRDefault="00E5468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11.922.242,84</w:t>
            </w:r>
          </w:p>
        </w:tc>
      </w:tr>
      <w:tr w:rsidR="00E5468D" w:rsidRPr="00B62B02" w14:paraId="51BE6550" w14:textId="77777777" w:rsidTr="00AD260D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3148" w14:textId="77777777" w:rsidR="00E5468D" w:rsidRPr="00B62B02" w:rsidRDefault="00E5468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Antuna Mihanovića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56EB" w14:textId="77777777" w:rsidR="00E5468D" w:rsidRPr="00B62B02" w:rsidRDefault="00E5468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9.145.317,68</w:t>
            </w:r>
          </w:p>
        </w:tc>
      </w:tr>
      <w:tr w:rsidR="00E5468D" w:rsidRPr="00B62B02" w14:paraId="17C63741" w14:textId="77777777" w:rsidTr="00AD260D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1964A" w14:textId="77777777" w:rsidR="00E5468D" w:rsidRPr="00B62B02" w:rsidRDefault="00E5468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Franje Krežme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61C2" w14:textId="77777777" w:rsidR="00E5468D" w:rsidRPr="00B62B02" w:rsidRDefault="00E5468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8.148.212,57</w:t>
            </w:r>
          </w:p>
        </w:tc>
      </w:tr>
      <w:tr w:rsidR="00E5468D" w:rsidRPr="00B62B02" w14:paraId="5C8897E5" w14:textId="77777777" w:rsidTr="00AD260D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2820B" w14:textId="77777777" w:rsidR="00E5468D" w:rsidRPr="00B62B02" w:rsidRDefault="00E5468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Frana Krste Frankopana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3BA22" w14:textId="77777777" w:rsidR="00E5468D" w:rsidRPr="00B62B02" w:rsidRDefault="00E5468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11.048.985,64</w:t>
            </w:r>
          </w:p>
        </w:tc>
      </w:tr>
      <w:tr w:rsidR="00E5468D" w:rsidRPr="00B62B02" w14:paraId="6FE77DE2" w14:textId="77777777" w:rsidTr="00AD260D">
        <w:trPr>
          <w:trHeight w:val="300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1B75" w14:textId="77777777" w:rsidR="00E5468D" w:rsidRPr="00B62B02" w:rsidRDefault="00E5468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Cvjetno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24D98" w14:textId="77777777" w:rsidR="00E5468D" w:rsidRPr="00B62B02" w:rsidRDefault="00E5468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5.687.514,01</w:t>
            </w:r>
          </w:p>
        </w:tc>
      </w:tr>
      <w:tr w:rsidR="00E5468D" w:rsidRPr="00B62B02" w14:paraId="4C5BE965" w14:textId="77777777" w:rsidTr="00AD260D">
        <w:trPr>
          <w:trHeight w:val="315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33C0" w14:textId="77777777" w:rsidR="00E5468D" w:rsidRPr="00B62B02" w:rsidRDefault="00E5468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OŠ Retfala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0EE9" w14:textId="77777777" w:rsidR="00E5468D" w:rsidRPr="00B62B02" w:rsidRDefault="00E5468D" w:rsidP="00AD26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12.139.501,53</w:t>
            </w:r>
          </w:p>
        </w:tc>
      </w:tr>
      <w:tr w:rsidR="00E5468D" w:rsidRPr="00B62B02" w14:paraId="67BC8C4D" w14:textId="77777777" w:rsidTr="00AD260D">
        <w:trPr>
          <w:trHeight w:val="315"/>
        </w:trPr>
        <w:tc>
          <w:tcPr>
            <w:tcW w:w="4134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59F21" w14:textId="3E0C2354" w:rsidR="00E5468D" w:rsidRPr="00B62B02" w:rsidRDefault="00E5468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Ukupno </w:t>
            </w:r>
            <w:r w:rsidR="000A1CC5">
              <w:rPr>
                <w:rFonts w:ascii="Calibri" w:hAnsi="Calibri" w:cs="Calibri"/>
                <w:color w:val="000000"/>
                <w:sz w:val="22"/>
                <w:szCs w:val="22"/>
              </w:rPr>
              <w:t>rashodi</w:t>
            </w: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poslovanja</w:t>
            </w:r>
          </w:p>
        </w:tc>
        <w:tc>
          <w:tcPr>
            <w:tcW w:w="86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6B437" w14:textId="77777777" w:rsidR="00E5468D" w:rsidRPr="006F1D60" w:rsidRDefault="00E5468D" w:rsidP="00AD260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D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758.303.481,05</w:t>
            </w:r>
          </w:p>
        </w:tc>
      </w:tr>
      <w:tr w:rsidR="00E5468D" w:rsidRPr="00B62B02" w14:paraId="5942A34F" w14:textId="77777777" w:rsidTr="00AD260D">
        <w:trPr>
          <w:trHeight w:val="315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F5C82" w14:textId="77777777" w:rsidR="00E5468D" w:rsidRPr="00B62B02" w:rsidRDefault="00E5468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Prijenos korisnicima (konto 367)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CCEB4" w14:textId="77777777" w:rsidR="00E5468D" w:rsidRPr="00B62B02" w:rsidRDefault="00E5468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119.289.659,56</w:t>
            </w:r>
          </w:p>
        </w:tc>
      </w:tr>
      <w:tr w:rsidR="00E5468D" w:rsidRPr="00B62B02" w14:paraId="63C4E1E2" w14:textId="77777777" w:rsidTr="00AD260D">
        <w:trPr>
          <w:trHeight w:val="315"/>
        </w:trPr>
        <w:tc>
          <w:tcPr>
            <w:tcW w:w="4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F852" w14:textId="77777777" w:rsidR="00E5468D" w:rsidRPr="00B62B02" w:rsidRDefault="00E5468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Tekući prijenosi između proračunskih korisnika istog proračuna (369)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4DD7" w14:textId="77777777" w:rsidR="00E5468D" w:rsidRPr="00B62B02" w:rsidRDefault="00E5468D" w:rsidP="00AD26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2.261,67</w:t>
            </w:r>
          </w:p>
        </w:tc>
      </w:tr>
      <w:tr w:rsidR="00E5468D" w:rsidRPr="00B62B02" w14:paraId="07ADD337" w14:textId="77777777" w:rsidTr="00AD260D">
        <w:trPr>
          <w:trHeight w:val="315"/>
        </w:trPr>
        <w:tc>
          <w:tcPr>
            <w:tcW w:w="4134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A7E76" w14:textId="0BF88337" w:rsidR="00E5468D" w:rsidRPr="00B62B02" w:rsidRDefault="00E5468D" w:rsidP="00AD26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2B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606EC">
              <w:rPr>
                <w:rFonts w:ascii="Calibri" w:hAnsi="Calibri" w:cs="Calibri"/>
                <w:color w:val="000000"/>
                <w:sz w:val="22"/>
                <w:szCs w:val="22"/>
              </w:rPr>
              <w:t>Ukupno rashodi poslovanja</w:t>
            </w:r>
          </w:p>
        </w:tc>
        <w:tc>
          <w:tcPr>
            <w:tcW w:w="86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222CC" w14:textId="7FA99D32" w:rsidR="00E5468D" w:rsidRPr="006F1D60" w:rsidRDefault="00E5468D" w:rsidP="00AD260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1D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639.011.559,82</w:t>
            </w:r>
          </w:p>
        </w:tc>
      </w:tr>
    </w:tbl>
    <w:p w14:paraId="600E2934" w14:textId="77777777" w:rsidR="00E5468D" w:rsidRDefault="00E5468D" w:rsidP="000321BE">
      <w:pPr>
        <w:ind w:firstLine="708"/>
        <w:jc w:val="both"/>
        <w:rPr>
          <w:iCs/>
        </w:rPr>
      </w:pPr>
    </w:p>
    <w:p w14:paraId="4EBDEF20" w14:textId="678B832D" w:rsidR="00F85485" w:rsidRDefault="00F85485" w:rsidP="000321BE">
      <w:pPr>
        <w:ind w:firstLine="708"/>
        <w:jc w:val="both"/>
        <w:rPr>
          <w:iCs/>
        </w:rPr>
      </w:pPr>
    </w:p>
    <w:p w14:paraId="7E88E680" w14:textId="30B258C8" w:rsidR="00F66ED3" w:rsidRPr="00384C93" w:rsidRDefault="00C163A6" w:rsidP="00384C93">
      <w:pPr>
        <w:ind w:firstLine="708"/>
        <w:jc w:val="both"/>
        <w:rPr>
          <w:iCs/>
        </w:rPr>
      </w:pPr>
      <w:r w:rsidRPr="00384C93">
        <w:rPr>
          <w:iCs/>
        </w:rPr>
        <w:t xml:space="preserve">U procesu konsolidacije eliminiraju se prihodi iskazani u okviru </w:t>
      </w:r>
      <w:r w:rsidR="00E5468D">
        <w:rPr>
          <w:iCs/>
        </w:rPr>
        <w:t>računa</w:t>
      </w:r>
      <w:r w:rsidRPr="00384C93">
        <w:rPr>
          <w:iCs/>
        </w:rPr>
        <w:t xml:space="preserve"> 671 i rashodi iskazani u okviru računa 367 , ukupno </w:t>
      </w:r>
      <w:r w:rsidR="004368AE" w:rsidRPr="00384C93">
        <w:rPr>
          <w:iCs/>
        </w:rPr>
        <w:t>1</w:t>
      </w:r>
      <w:r w:rsidR="00487864">
        <w:rPr>
          <w:iCs/>
        </w:rPr>
        <w:t>19.289.659,56</w:t>
      </w:r>
      <w:r w:rsidRPr="00384C93">
        <w:rPr>
          <w:iCs/>
        </w:rPr>
        <w:t xml:space="preserve"> kn što je za </w:t>
      </w:r>
      <w:r w:rsidR="00776CB9">
        <w:rPr>
          <w:iCs/>
        </w:rPr>
        <w:t>14.866.232</w:t>
      </w:r>
      <w:r w:rsidR="00487864">
        <w:rPr>
          <w:iCs/>
        </w:rPr>
        <w:t>,56</w:t>
      </w:r>
      <w:r w:rsidRPr="00384C93">
        <w:rPr>
          <w:iCs/>
        </w:rPr>
        <w:t xml:space="preserve"> kn više u odnosu na 20</w:t>
      </w:r>
      <w:r w:rsidR="00384C93" w:rsidRPr="00384C93">
        <w:rPr>
          <w:iCs/>
        </w:rPr>
        <w:t>2</w:t>
      </w:r>
      <w:r w:rsidR="00487864">
        <w:rPr>
          <w:iCs/>
        </w:rPr>
        <w:t>1</w:t>
      </w:r>
      <w:r w:rsidR="006568BD" w:rsidRPr="00384C93">
        <w:rPr>
          <w:iCs/>
        </w:rPr>
        <w:t>.</w:t>
      </w:r>
      <w:r w:rsidRPr="00384C93">
        <w:rPr>
          <w:iCs/>
        </w:rPr>
        <w:t xml:space="preserve"> </w:t>
      </w:r>
    </w:p>
    <w:p w14:paraId="64FFC7A4" w14:textId="77777777" w:rsidR="006568BD" w:rsidRPr="00C83FE2" w:rsidRDefault="006568BD" w:rsidP="006568BD">
      <w:pPr>
        <w:jc w:val="both"/>
        <w:rPr>
          <w:rFonts w:ascii="Cambria" w:hAnsi="Cambria"/>
          <w:highlight w:val="yellow"/>
        </w:rPr>
      </w:pPr>
    </w:p>
    <w:p w14:paraId="439AC442" w14:textId="0912F655" w:rsidR="00017C72" w:rsidRDefault="0059422A" w:rsidP="00017C72">
      <w:pPr>
        <w:ind w:firstLine="708"/>
        <w:jc w:val="both"/>
      </w:pPr>
      <w:r w:rsidRPr="00384C93">
        <w:t>Usporedni p</w:t>
      </w:r>
      <w:r w:rsidR="00017C72" w:rsidRPr="00384C93">
        <w:t xml:space="preserve">regled izvršenih prijenosa proračunskim korisnicima iz Proračuna Grada Osijeka </w:t>
      </w:r>
      <w:r w:rsidRPr="00384C93">
        <w:t>u 20</w:t>
      </w:r>
      <w:r w:rsidR="00384C93" w:rsidRPr="00384C93">
        <w:t>2</w:t>
      </w:r>
      <w:r w:rsidR="00487864">
        <w:t>1</w:t>
      </w:r>
      <w:r w:rsidRPr="00384C93">
        <w:t>. i 202</w:t>
      </w:r>
      <w:r w:rsidR="00487864">
        <w:t>2</w:t>
      </w:r>
      <w:r w:rsidRPr="00384C93">
        <w:t xml:space="preserve">. </w:t>
      </w:r>
      <w:r w:rsidR="00017C72" w:rsidRPr="00384C93">
        <w:t>dan je u nastavku:</w:t>
      </w:r>
    </w:p>
    <w:p w14:paraId="4996F5F1" w14:textId="3F65F6F7" w:rsidR="001F434A" w:rsidRDefault="001F434A" w:rsidP="00017C72">
      <w:pPr>
        <w:ind w:firstLine="708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0"/>
        <w:gridCol w:w="3710"/>
        <w:gridCol w:w="2707"/>
        <w:gridCol w:w="1967"/>
      </w:tblGrid>
      <w:tr w:rsidR="001F434A" w:rsidRPr="001F434A" w14:paraId="785FAD5F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E917" w14:textId="77777777" w:rsidR="001F434A" w:rsidRPr="001F434A" w:rsidRDefault="001F434A" w:rsidP="001F434A">
            <w:pPr>
              <w:rPr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0161" w14:textId="77777777" w:rsidR="001F434A" w:rsidRPr="001F434A" w:rsidRDefault="001F434A" w:rsidP="001F434A">
            <w:pPr>
              <w:rPr>
                <w:sz w:val="20"/>
                <w:szCs w:val="20"/>
              </w:rPr>
            </w:pPr>
          </w:p>
        </w:tc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C0E7" w14:textId="64F79987" w:rsidR="001F434A" w:rsidRPr="001F434A" w:rsidRDefault="001F434A" w:rsidP="001F43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31.12.202</w:t>
            </w:r>
            <w:r w:rsidR="004878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Pr="001F43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2F83" w14:textId="118CC534" w:rsidR="001F434A" w:rsidRPr="001F434A" w:rsidRDefault="001F434A" w:rsidP="001F43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31.12.202</w:t>
            </w:r>
            <w:r w:rsidR="00F37F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Pr="001F43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1F434A" w:rsidRPr="001F434A" w14:paraId="0775D968" w14:textId="77777777" w:rsidTr="001F434A">
        <w:trPr>
          <w:trHeight w:val="300"/>
        </w:trPr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B0E3A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D6C29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B375D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HRK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7B5CA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HRK</w:t>
            </w:r>
          </w:p>
        </w:tc>
      </w:tr>
      <w:tr w:rsidR="001F434A" w:rsidRPr="001F434A" w14:paraId="798D7D28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22826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B0A93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OŠ VIJENAC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1A243" w14:textId="6D6DC205" w:rsidR="001F434A" w:rsidRPr="001F434A" w:rsidRDefault="00487864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942.721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ABDBB" w14:textId="451416D4" w:rsidR="001F434A" w:rsidRPr="001F434A" w:rsidRDefault="00D7519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985.750,66</w:t>
            </w:r>
          </w:p>
        </w:tc>
      </w:tr>
      <w:tr w:rsidR="001F434A" w:rsidRPr="001F434A" w14:paraId="3FCACA04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759A6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7015B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OŠ MLADOST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BE7E9" w14:textId="4B547959" w:rsidR="001F434A" w:rsidRPr="001F434A" w:rsidRDefault="0000009B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1.225.645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CA60B" w14:textId="3A4178CE" w:rsidR="001F434A" w:rsidRPr="001F434A" w:rsidRDefault="00D7519A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1.383.062,07</w:t>
            </w:r>
          </w:p>
        </w:tc>
      </w:tr>
      <w:tr w:rsidR="001F434A" w:rsidRPr="001F434A" w14:paraId="2C5D37C4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4C302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A0F79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OŠ JOSIPOVAC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07671" w14:textId="5FB952B2" w:rsidR="001F434A" w:rsidRPr="001F434A" w:rsidRDefault="0000009B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009B">
              <w:rPr>
                <w:rFonts w:ascii="Calibri" w:hAnsi="Calibri" w:cs="Calibri"/>
                <w:color w:val="000000"/>
                <w:sz w:val="22"/>
                <w:szCs w:val="22"/>
              </w:rPr>
              <w:t>721.040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C8CAB" w14:textId="0BBE26D1" w:rsidR="001F434A" w:rsidRPr="001F434A" w:rsidRDefault="00AE1E02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927.887,70</w:t>
            </w:r>
          </w:p>
        </w:tc>
      </w:tr>
      <w:tr w:rsidR="001F434A" w:rsidRPr="001F434A" w14:paraId="6520BE52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12429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4F715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OŠ RETFALA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7D7B0" w14:textId="4B979472" w:rsidR="001F434A" w:rsidRPr="001F434A" w:rsidRDefault="0000009B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009B">
              <w:rPr>
                <w:rFonts w:ascii="Calibri" w:hAnsi="Calibri" w:cs="Calibri"/>
                <w:color w:val="000000"/>
                <w:sz w:val="22"/>
                <w:szCs w:val="22"/>
              </w:rPr>
              <w:t>1.515.918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A6CE7" w14:textId="137AFF9B" w:rsidR="001F434A" w:rsidRPr="001F434A" w:rsidRDefault="00AE1E02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2.081.429,58</w:t>
            </w:r>
          </w:p>
        </w:tc>
      </w:tr>
      <w:tr w:rsidR="001F434A" w:rsidRPr="001F434A" w14:paraId="50D3B16A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238EA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E3CC8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OŠ VIŠNJEVAC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E7AFA" w14:textId="5BD491D9" w:rsidR="001F434A" w:rsidRPr="001F434A" w:rsidRDefault="0000009B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009B">
              <w:rPr>
                <w:rFonts w:ascii="Calibri" w:hAnsi="Calibri" w:cs="Calibri"/>
                <w:color w:val="000000"/>
                <w:sz w:val="22"/>
                <w:szCs w:val="22"/>
              </w:rPr>
              <w:t>1.367.913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0BD1D" w14:textId="434E9C4C" w:rsidR="001F434A" w:rsidRPr="001F434A" w:rsidRDefault="00AE1E02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1.792.078,71</w:t>
            </w:r>
          </w:p>
        </w:tc>
      </w:tr>
      <w:tr w:rsidR="001F434A" w:rsidRPr="001F434A" w14:paraId="62263145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A0BF8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A087B" w14:textId="06E00BAE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OŠ </w:t>
            </w:r>
            <w:r w:rsidR="00FA0256">
              <w:rPr>
                <w:rFonts w:ascii="Calibri" w:hAnsi="Calibri" w:cs="Calibri"/>
                <w:color w:val="000000"/>
                <w:sz w:val="22"/>
                <w:szCs w:val="22"/>
              </w:rPr>
              <w:t>AUGUST</w:t>
            </w:r>
            <w:r w:rsidR="000971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</w:t>
            </w: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ŠENO</w:t>
            </w:r>
            <w:r w:rsidR="00097188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412EE" w14:textId="72BDD91A" w:rsidR="001F434A" w:rsidRPr="001F434A" w:rsidRDefault="0000009B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009B">
              <w:rPr>
                <w:rFonts w:ascii="Calibri" w:hAnsi="Calibri" w:cs="Calibri"/>
                <w:color w:val="000000"/>
                <w:sz w:val="22"/>
                <w:szCs w:val="22"/>
              </w:rPr>
              <w:t>1.010.408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6E96F" w14:textId="0D9ED850" w:rsidR="001F434A" w:rsidRPr="001F434A" w:rsidRDefault="00AE1E02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924.270,28</w:t>
            </w:r>
          </w:p>
        </w:tc>
      </w:tr>
      <w:tr w:rsidR="001F434A" w:rsidRPr="001F434A" w14:paraId="27403471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D1E46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F4716" w14:textId="77777777" w:rsidR="001F434A" w:rsidRPr="001F434A" w:rsidRDefault="001F434A" w:rsidP="001F434A">
            <w:pPr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OŠ CESARIĆ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6E0F1" w14:textId="02AF27EB" w:rsidR="001F434A" w:rsidRPr="001F434A" w:rsidRDefault="0000009B" w:rsidP="001F434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0009B">
              <w:rPr>
                <w:rFonts w:ascii="Calibri" w:hAnsi="Calibri" w:cs="Calibri"/>
                <w:sz w:val="22"/>
                <w:szCs w:val="22"/>
              </w:rPr>
              <w:t>1.062.030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08877" w14:textId="4BCD967C" w:rsidR="001F434A" w:rsidRPr="001F434A" w:rsidRDefault="005D7BF4" w:rsidP="001F434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1.590.513,10</w:t>
            </w:r>
          </w:p>
        </w:tc>
      </w:tr>
      <w:tr w:rsidR="001F434A" w:rsidRPr="001F434A" w14:paraId="6174FBFE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8AC83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F1925" w14:textId="15217355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OŠ F</w:t>
            </w:r>
            <w:r w:rsidR="00097188">
              <w:rPr>
                <w:rFonts w:ascii="Calibri" w:hAnsi="Calibri" w:cs="Calibri"/>
                <w:color w:val="000000"/>
                <w:sz w:val="22"/>
                <w:szCs w:val="22"/>
              </w:rPr>
              <w:t>RAN KRSTO FRANKOPAN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48E70" w14:textId="34F4027A" w:rsidR="001F434A" w:rsidRPr="001F434A" w:rsidRDefault="00AA3E21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3E21">
              <w:rPr>
                <w:rFonts w:ascii="Calibri" w:hAnsi="Calibri" w:cs="Calibri"/>
                <w:color w:val="000000"/>
                <w:sz w:val="22"/>
                <w:szCs w:val="22"/>
              </w:rPr>
              <w:t>1.587.999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92B0A" w14:textId="1286817F" w:rsidR="001F434A" w:rsidRPr="001F434A" w:rsidRDefault="005D7BF4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1.645.438,63</w:t>
            </w:r>
          </w:p>
        </w:tc>
      </w:tr>
      <w:tr w:rsidR="001F434A" w:rsidRPr="001F434A" w14:paraId="632321A0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4258D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169BD" w14:textId="48D4C32B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OŠ </w:t>
            </w:r>
            <w:r w:rsidR="000971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JAGODE </w:t>
            </w: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TRUHELK</w:t>
            </w:r>
            <w:r w:rsidR="00097188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2577F" w14:textId="493F67DD" w:rsidR="001F434A" w:rsidRPr="001F434A" w:rsidRDefault="00AA3E21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1.155.413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362D4" w14:textId="315FC30D" w:rsidR="001F434A" w:rsidRPr="001F434A" w:rsidRDefault="00EF0749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1.201.535,46</w:t>
            </w:r>
          </w:p>
        </w:tc>
      </w:tr>
      <w:tr w:rsidR="001F434A" w:rsidRPr="001F434A" w14:paraId="16BD66D5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DE352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6A5B7" w14:textId="76A4A5AC" w:rsidR="001F434A" w:rsidRPr="001F434A" w:rsidRDefault="001F434A" w:rsidP="001F434A">
            <w:pPr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 xml:space="preserve">OŠ </w:t>
            </w:r>
            <w:r w:rsidR="00097188">
              <w:rPr>
                <w:rFonts w:ascii="Calibri" w:hAnsi="Calibri" w:cs="Calibri"/>
                <w:sz w:val="22"/>
                <w:szCs w:val="22"/>
              </w:rPr>
              <w:t xml:space="preserve">TIN </w:t>
            </w:r>
            <w:r w:rsidRPr="001F434A">
              <w:rPr>
                <w:rFonts w:ascii="Calibri" w:hAnsi="Calibri" w:cs="Calibri"/>
                <w:sz w:val="22"/>
                <w:szCs w:val="22"/>
              </w:rPr>
              <w:t>UJEVIĆ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05104" w14:textId="233AEE67" w:rsidR="001F434A" w:rsidRPr="001F434A" w:rsidRDefault="00AA3E21" w:rsidP="001F434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A3E21">
              <w:rPr>
                <w:rFonts w:ascii="Calibri" w:hAnsi="Calibri" w:cs="Calibri"/>
                <w:sz w:val="22"/>
                <w:szCs w:val="22"/>
              </w:rPr>
              <w:t>1.170.789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10A1A" w14:textId="4B05DF8A" w:rsidR="001F434A" w:rsidRPr="001F434A" w:rsidRDefault="00EF0749" w:rsidP="001F434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1.496.131,19</w:t>
            </w:r>
          </w:p>
        </w:tc>
      </w:tr>
      <w:tr w:rsidR="001F434A" w:rsidRPr="001F434A" w14:paraId="0294628F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EB59E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A7019" w14:textId="50FDF1EA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OŠ </w:t>
            </w:r>
            <w:r w:rsidR="000971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ANTUNA </w:t>
            </w: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MIHANOVIĆ</w:t>
            </w:r>
            <w:r w:rsidR="00097188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B591B" w14:textId="0E6FD71F" w:rsidR="001F434A" w:rsidRPr="001F434A" w:rsidRDefault="00AA3E21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3E21">
              <w:rPr>
                <w:rFonts w:ascii="Calibri" w:hAnsi="Calibri" w:cs="Calibri"/>
                <w:color w:val="000000"/>
                <w:sz w:val="22"/>
                <w:szCs w:val="22"/>
              </w:rPr>
              <w:t>1.280.280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63B78" w14:textId="357DE5B9" w:rsidR="001F434A" w:rsidRPr="001F434A" w:rsidRDefault="00EF0749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1.312.116,02</w:t>
            </w:r>
          </w:p>
        </w:tc>
      </w:tr>
      <w:tr w:rsidR="001F434A" w:rsidRPr="001F434A" w14:paraId="4AF9B808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5B416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A62F2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OŠ TENJA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2BC2C" w14:textId="49559B74" w:rsidR="001F434A" w:rsidRPr="001F434A" w:rsidRDefault="00AA3E21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3E21">
              <w:rPr>
                <w:rFonts w:ascii="Calibri" w:hAnsi="Calibri" w:cs="Calibri"/>
                <w:color w:val="000000"/>
                <w:sz w:val="22"/>
                <w:szCs w:val="22"/>
              </w:rPr>
              <w:t>1.180.173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9D127" w14:textId="09139ABE" w:rsidR="001F434A" w:rsidRPr="001F434A" w:rsidRDefault="00EF0749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1.602.094,19</w:t>
            </w:r>
          </w:p>
        </w:tc>
      </w:tr>
      <w:tr w:rsidR="001F434A" w:rsidRPr="001F434A" w14:paraId="28A1C3FA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5F647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5E6CD" w14:textId="38E3A3ED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OŠ </w:t>
            </w:r>
            <w:r w:rsidR="000971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VLADIMIR </w:t>
            </w: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BECIĆ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3F441" w14:textId="46311784" w:rsidR="001F434A" w:rsidRPr="001F434A" w:rsidRDefault="00AA3E21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949.678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E3AC6" w14:textId="13EF5677" w:rsidR="001F434A" w:rsidRPr="001F434A" w:rsidRDefault="00263BC9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1.020.273,18</w:t>
            </w:r>
          </w:p>
        </w:tc>
      </w:tr>
      <w:tr w:rsidR="001F434A" w:rsidRPr="001F434A" w14:paraId="359F2C8E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82602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712E9" w14:textId="77777777" w:rsidR="001F434A" w:rsidRPr="001F434A" w:rsidRDefault="001F434A" w:rsidP="001F434A">
            <w:pPr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OŠ SV ANE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D5BF9" w14:textId="30EC6901" w:rsidR="001F434A" w:rsidRPr="001F434A" w:rsidRDefault="00263BC9" w:rsidP="001F434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63BC9">
              <w:rPr>
                <w:rFonts w:ascii="Calibri" w:hAnsi="Calibri" w:cs="Calibri"/>
                <w:sz w:val="22"/>
                <w:szCs w:val="22"/>
              </w:rPr>
              <w:t>1.207.231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E2570" w14:textId="200CFFA2" w:rsidR="001F434A" w:rsidRPr="001F434A" w:rsidRDefault="00A87AD6" w:rsidP="001F434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1.231.340,96</w:t>
            </w:r>
          </w:p>
        </w:tc>
      </w:tr>
      <w:tr w:rsidR="001F434A" w:rsidRPr="001F434A" w14:paraId="5CC92EF9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D0899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F9438" w14:textId="30703BBD" w:rsidR="001F434A" w:rsidRPr="001F434A" w:rsidRDefault="001F434A" w:rsidP="001F434A">
            <w:pPr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 xml:space="preserve">OŠ </w:t>
            </w:r>
            <w:r w:rsidR="00097188">
              <w:rPr>
                <w:rFonts w:ascii="Calibri" w:hAnsi="Calibri" w:cs="Calibri"/>
                <w:sz w:val="22"/>
                <w:szCs w:val="22"/>
              </w:rPr>
              <w:t xml:space="preserve">IVAN </w:t>
            </w:r>
            <w:r w:rsidRPr="001F434A">
              <w:rPr>
                <w:rFonts w:ascii="Calibri" w:hAnsi="Calibri" w:cs="Calibri"/>
                <w:sz w:val="22"/>
                <w:szCs w:val="22"/>
              </w:rPr>
              <w:t>FILIPOVIĆ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622DA" w14:textId="35872BA1" w:rsidR="001F434A" w:rsidRPr="001F434A" w:rsidRDefault="00263BC9" w:rsidP="001F434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1.089.236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3DE6F" w14:textId="67AF1418" w:rsidR="001F434A" w:rsidRPr="001F434A" w:rsidRDefault="00A87AD6" w:rsidP="001F434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1.263.181,57</w:t>
            </w:r>
          </w:p>
        </w:tc>
      </w:tr>
      <w:tr w:rsidR="001F434A" w:rsidRPr="001F434A" w14:paraId="44C3CDA0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C00F7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DDCE6" w14:textId="7C8236E7" w:rsidR="001F434A" w:rsidRPr="001F434A" w:rsidRDefault="001F434A" w:rsidP="001F434A">
            <w:pPr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OŠ</w:t>
            </w:r>
            <w:r w:rsidR="00097188">
              <w:rPr>
                <w:rFonts w:ascii="Calibri" w:hAnsi="Calibri" w:cs="Calibri"/>
                <w:sz w:val="22"/>
                <w:szCs w:val="22"/>
              </w:rPr>
              <w:t xml:space="preserve"> FRANJE</w:t>
            </w:r>
            <w:r w:rsidRPr="001F434A">
              <w:rPr>
                <w:rFonts w:ascii="Calibri" w:hAnsi="Calibri" w:cs="Calibri"/>
                <w:sz w:val="22"/>
                <w:szCs w:val="22"/>
              </w:rPr>
              <w:t xml:space="preserve"> KREŽM</w:t>
            </w:r>
            <w:r w:rsidR="00097188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01CDF" w14:textId="0A38335A" w:rsidR="001F434A" w:rsidRPr="001F434A" w:rsidRDefault="00263BC9" w:rsidP="001F434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1.174.347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0957F" w14:textId="46D01FAA" w:rsidR="001F434A" w:rsidRPr="001F434A" w:rsidRDefault="00A87AD6" w:rsidP="001F434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1.159.374,67</w:t>
            </w:r>
          </w:p>
        </w:tc>
      </w:tr>
      <w:tr w:rsidR="001F434A" w:rsidRPr="001F434A" w14:paraId="1C843911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45E93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CF302" w14:textId="26BEB24E" w:rsidR="001F434A" w:rsidRPr="001F434A" w:rsidRDefault="001F434A" w:rsidP="001F434A">
            <w:pPr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 xml:space="preserve">OŠ </w:t>
            </w:r>
            <w:r w:rsidR="00097188">
              <w:rPr>
                <w:rFonts w:ascii="Calibri" w:hAnsi="Calibri" w:cs="Calibri"/>
                <w:sz w:val="22"/>
                <w:szCs w:val="22"/>
              </w:rPr>
              <w:t xml:space="preserve">GRIGOR </w:t>
            </w:r>
            <w:r w:rsidRPr="001F434A">
              <w:rPr>
                <w:rFonts w:ascii="Calibri" w:hAnsi="Calibri" w:cs="Calibri"/>
                <w:sz w:val="22"/>
                <w:szCs w:val="22"/>
              </w:rPr>
              <w:t>VITEZ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38A1D" w14:textId="4C6DB5E9" w:rsidR="001F434A" w:rsidRPr="001F434A" w:rsidRDefault="00263BC9" w:rsidP="001F434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741.040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65412" w14:textId="7CAB4B7F" w:rsidR="001F434A" w:rsidRPr="001F434A" w:rsidRDefault="000818F4" w:rsidP="001F434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998.537,51</w:t>
            </w:r>
          </w:p>
        </w:tc>
      </w:tr>
      <w:tr w:rsidR="001F434A" w:rsidRPr="001F434A" w14:paraId="20BDF3BE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E04D7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C6068" w14:textId="7CDAD620" w:rsidR="001F434A" w:rsidRPr="001F434A" w:rsidRDefault="001F434A" w:rsidP="001F434A">
            <w:pPr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 xml:space="preserve">OŠ </w:t>
            </w:r>
            <w:r w:rsidR="00097188">
              <w:rPr>
                <w:rFonts w:ascii="Calibri" w:hAnsi="Calibri" w:cs="Calibri"/>
                <w:sz w:val="22"/>
                <w:szCs w:val="22"/>
              </w:rPr>
              <w:t xml:space="preserve">LJUDEVIT </w:t>
            </w:r>
            <w:r w:rsidRPr="001F434A">
              <w:rPr>
                <w:rFonts w:ascii="Calibri" w:hAnsi="Calibri" w:cs="Calibri"/>
                <w:sz w:val="22"/>
                <w:szCs w:val="22"/>
              </w:rPr>
              <w:t>GAJ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B4760" w14:textId="6B9CABB4" w:rsidR="001F434A" w:rsidRPr="001F434A" w:rsidRDefault="00263BC9" w:rsidP="001F434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F434A">
              <w:rPr>
                <w:rFonts w:ascii="Calibri" w:hAnsi="Calibri" w:cs="Calibri"/>
                <w:sz w:val="22"/>
                <w:szCs w:val="22"/>
              </w:rPr>
              <w:t>1.684.464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E26A8" w14:textId="325CFEA8" w:rsidR="001F434A" w:rsidRPr="001F434A" w:rsidRDefault="000818F4" w:rsidP="001F434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1.932.830,38</w:t>
            </w:r>
          </w:p>
        </w:tc>
      </w:tr>
      <w:tr w:rsidR="001F434A" w:rsidRPr="001F434A" w14:paraId="6F345046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C8B7A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F9DC9" w14:textId="7A37FC16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CENTAR </w:t>
            </w:r>
            <w:r w:rsidR="000971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IVAN </w:t>
            </w: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ŠTARK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51962" w14:textId="51BC947F" w:rsidR="001F434A" w:rsidRPr="001F434A" w:rsidRDefault="00263BC9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BC9">
              <w:rPr>
                <w:rFonts w:ascii="Calibri" w:hAnsi="Calibri" w:cs="Calibri"/>
                <w:color w:val="000000"/>
                <w:sz w:val="22"/>
                <w:szCs w:val="22"/>
              </w:rPr>
              <w:t>1.545.744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BBDFC" w14:textId="26A8A7C6" w:rsidR="001F434A" w:rsidRPr="001F434A" w:rsidRDefault="000818F4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1.329.367,77</w:t>
            </w:r>
          </w:p>
        </w:tc>
      </w:tr>
      <w:tr w:rsidR="001F434A" w:rsidRPr="001F434A" w14:paraId="0A0EF2B7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88491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28153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PKC MAĐARA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80E0B" w14:textId="431347B6" w:rsidR="001F434A" w:rsidRPr="001F434A" w:rsidRDefault="00263BC9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BC9">
              <w:rPr>
                <w:rFonts w:ascii="Calibri" w:hAnsi="Calibri" w:cs="Calibri"/>
                <w:color w:val="000000"/>
                <w:sz w:val="22"/>
                <w:szCs w:val="22"/>
              </w:rPr>
              <w:t>1.068.311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F7B02" w14:textId="5DDA3B13" w:rsidR="001F434A" w:rsidRPr="001F434A" w:rsidRDefault="000818F4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1.241</w:t>
            </w:r>
            <w:r w:rsidR="004A3CDC">
              <w:rPr>
                <w:rFonts w:ascii="Calibri" w:hAnsi="Calibri" w:cs="Calibri"/>
                <w:color w:val="000000"/>
                <w:sz w:val="22"/>
                <w:szCs w:val="22"/>
              </w:rPr>
              <w:t>.429,66</w:t>
            </w:r>
          </w:p>
        </w:tc>
      </w:tr>
      <w:tr w:rsidR="001F434A" w:rsidRPr="001F434A" w14:paraId="6B6F8693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21B09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43030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OŠ CVJETNO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98E75" w14:textId="231B2713" w:rsidR="001F434A" w:rsidRPr="001F434A" w:rsidRDefault="00263BC9" w:rsidP="00263B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</w:t>
            </w:r>
            <w:r w:rsidRPr="00263BC9">
              <w:rPr>
                <w:rFonts w:ascii="Calibri" w:hAnsi="Calibri" w:cs="Calibri"/>
                <w:color w:val="000000"/>
                <w:sz w:val="22"/>
                <w:szCs w:val="22"/>
              </w:rPr>
              <w:t>334.323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B036E" w14:textId="12234832" w:rsidR="001F434A" w:rsidRPr="001F434A" w:rsidRDefault="004A3CDC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696.516,86</w:t>
            </w:r>
          </w:p>
        </w:tc>
      </w:tr>
      <w:tr w:rsidR="001F434A" w:rsidRPr="001F434A" w14:paraId="7B174A2D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A99BC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87D2A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6931F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6BE17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F434A" w:rsidRPr="001F434A" w14:paraId="42DA1E82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587AC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2BDE7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DJEČJE KAZALIŠTE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C40C1" w14:textId="4B744EB7" w:rsidR="001F434A" w:rsidRPr="001F434A" w:rsidRDefault="00263BC9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BC9">
              <w:rPr>
                <w:rFonts w:ascii="Calibri" w:hAnsi="Calibri" w:cs="Calibri"/>
                <w:color w:val="000000"/>
                <w:sz w:val="22"/>
                <w:szCs w:val="22"/>
              </w:rPr>
              <w:t>5.011.971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CECED" w14:textId="1F58B1DB" w:rsidR="001F434A" w:rsidRPr="001F434A" w:rsidRDefault="004A3CDC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5.406.480,00</w:t>
            </w:r>
          </w:p>
        </w:tc>
      </w:tr>
      <w:tr w:rsidR="001F434A" w:rsidRPr="001F434A" w14:paraId="3DD0297C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135F8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055A5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HNK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259A7" w14:textId="50587DDC" w:rsidR="001F434A" w:rsidRPr="001F434A" w:rsidRDefault="00263BC9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BC9">
              <w:rPr>
                <w:rFonts w:ascii="Calibri" w:hAnsi="Calibri" w:cs="Calibri"/>
                <w:color w:val="000000"/>
                <w:sz w:val="22"/>
                <w:szCs w:val="22"/>
              </w:rPr>
              <w:t>12.895.000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65D25" w14:textId="514508A7" w:rsidR="001F434A" w:rsidRPr="001F434A" w:rsidRDefault="004A3CDC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13.805.000,00</w:t>
            </w:r>
          </w:p>
        </w:tc>
      </w:tr>
      <w:tr w:rsidR="001F434A" w:rsidRPr="001F434A" w14:paraId="0ABC3D6A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45A1A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19266" w14:textId="060C7663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JVP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A561A" w14:textId="02CA6123" w:rsidR="001F434A" w:rsidRPr="001F434A" w:rsidRDefault="00263BC9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BC9">
              <w:rPr>
                <w:rFonts w:ascii="Calibri" w:hAnsi="Calibri" w:cs="Calibri"/>
                <w:color w:val="000000"/>
                <w:sz w:val="22"/>
                <w:szCs w:val="22"/>
              </w:rPr>
              <w:t>16.233.703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617CF" w14:textId="26524CF8" w:rsidR="001F434A" w:rsidRPr="001F434A" w:rsidRDefault="00CB73C2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17.459.273,52</w:t>
            </w:r>
          </w:p>
        </w:tc>
      </w:tr>
      <w:tr w:rsidR="001F434A" w:rsidRPr="001F434A" w14:paraId="1B8F9EFC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CBD7B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E1DCF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GRADSKE GALERIJE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A4711" w14:textId="4F7264B3" w:rsidR="001F434A" w:rsidRPr="001F434A" w:rsidRDefault="00263BC9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BC9">
              <w:rPr>
                <w:rFonts w:ascii="Calibri" w:hAnsi="Calibri" w:cs="Calibri"/>
                <w:color w:val="000000"/>
                <w:sz w:val="22"/>
                <w:szCs w:val="22"/>
              </w:rPr>
              <w:t>1.057.415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55234" w14:textId="72425894" w:rsidR="001F434A" w:rsidRPr="001F434A" w:rsidRDefault="00CB73C2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1.050.937,43</w:t>
            </w:r>
          </w:p>
        </w:tc>
      </w:tr>
      <w:tr w:rsidR="001F434A" w:rsidRPr="001F434A" w14:paraId="78FEC705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2FA64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CCE29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DJEČJI VRTIĆ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DA9E0" w14:textId="10A1A588" w:rsidR="001F434A" w:rsidRPr="001F434A" w:rsidRDefault="00263BC9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BC9">
              <w:rPr>
                <w:rFonts w:ascii="Calibri" w:hAnsi="Calibri" w:cs="Calibri"/>
                <w:color w:val="000000"/>
                <w:sz w:val="22"/>
                <w:szCs w:val="22"/>
              </w:rPr>
              <w:t>41.984.600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ACBF1" w14:textId="1AB95842" w:rsidR="001F434A" w:rsidRPr="001F434A" w:rsidRDefault="00CB73C2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49.181.135,34</w:t>
            </w:r>
          </w:p>
        </w:tc>
      </w:tr>
      <w:tr w:rsidR="001F434A" w:rsidRPr="001F434A" w14:paraId="13C244D1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60F4A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5691F" w14:textId="1B2E832D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AGENCIJA ZA OBNOVU O</w:t>
            </w:r>
            <w:r w:rsidR="00097188">
              <w:rPr>
                <w:rFonts w:ascii="Calibri" w:hAnsi="Calibri" w:cs="Calibri"/>
                <w:color w:val="000000"/>
                <w:sz w:val="22"/>
                <w:szCs w:val="22"/>
              </w:rPr>
              <w:t>SJEČKE TVRĐE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E7892" w14:textId="771298E4" w:rsidR="001F434A" w:rsidRPr="001F434A" w:rsidRDefault="00263BC9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BC9">
              <w:rPr>
                <w:rFonts w:ascii="Calibri" w:hAnsi="Calibri" w:cs="Calibri"/>
                <w:color w:val="000000"/>
                <w:sz w:val="22"/>
                <w:szCs w:val="22"/>
              </w:rPr>
              <w:t>665.975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43642" w14:textId="6AC4640D" w:rsidR="001F434A" w:rsidRPr="001F434A" w:rsidRDefault="00CB73C2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F434A" w:rsidRPr="001F434A" w14:paraId="44664C57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6BA4E" w14:textId="77777777" w:rsidR="001F434A" w:rsidRPr="001F434A" w:rsidRDefault="001F434A" w:rsidP="001F434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6000A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KULTURNI CENTAR OSIJEK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C5C96" w14:textId="0BAD6C92" w:rsidR="001F434A" w:rsidRPr="001F434A" w:rsidRDefault="00263BC9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BC9">
              <w:rPr>
                <w:rFonts w:ascii="Calibri" w:hAnsi="Calibri" w:cs="Calibri"/>
                <w:color w:val="000000"/>
                <w:sz w:val="22"/>
                <w:szCs w:val="22"/>
              </w:rPr>
              <w:t>2.560.059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89344" w14:textId="0FD51D24" w:rsidR="001F434A" w:rsidRPr="001F434A" w:rsidRDefault="00F37F42" w:rsidP="001F43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4.571.673,10</w:t>
            </w:r>
          </w:p>
        </w:tc>
      </w:tr>
      <w:tr w:rsidR="001F434A" w:rsidRPr="001F434A" w14:paraId="37143B8A" w14:textId="77777777" w:rsidTr="001F434A">
        <w:trPr>
          <w:trHeight w:val="300"/>
        </w:trPr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B8361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BF342" w14:textId="77777777" w:rsidR="001F434A" w:rsidRPr="001F434A" w:rsidRDefault="001F434A" w:rsidP="001F4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3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00EB5" w14:textId="60828C36" w:rsidR="001F434A" w:rsidRPr="001F434A" w:rsidRDefault="00263BC9" w:rsidP="001F434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3B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104.423.427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10687" w14:textId="0C4F3851" w:rsidR="001F434A" w:rsidRPr="001F434A" w:rsidRDefault="00F37F42" w:rsidP="001F434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119.289.659,56</w:t>
            </w:r>
          </w:p>
        </w:tc>
      </w:tr>
    </w:tbl>
    <w:p w14:paraId="45C04875" w14:textId="7CA88B77" w:rsidR="001F434A" w:rsidRDefault="001F434A" w:rsidP="001F434A">
      <w:pPr>
        <w:jc w:val="both"/>
      </w:pPr>
    </w:p>
    <w:p w14:paraId="68FB41B3" w14:textId="0A145868" w:rsidR="001F434A" w:rsidRDefault="001F434A" w:rsidP="00017C72">
      <w:pPr>
        <w:ind w:firstLine="708"/>
        <w:jc w:val="both"/>
      </w:pPr>
    </w:p>
    <w:p w14:paraId="4990423B" w14:textId="3E49B0F8" w:rsidR="001F434A" w:rsidRDefault="001F434A" w:rsidP="00017C72">
      <w:pPr>
        <w:ind w:firstLine="708"/>
        <w:jc w:val="both"/>
      </w:pPr>
    </w:p>
    <w:p w14:paraId="6F81281E" w14:textId="300C8EB9" w:rsidR="00017C72" w:rsidRDefault="00017C72" w:rsidP="00E23275">
      <w:pPr>
        <w:ind w:firstLine="708"/>
        <w:jc w:val="both"/>
      </w:pPr>
      <w:r w:rsidRPr="00E23275">
        <w:t>Navedena proračunska sredstva</w:t>
      </w:r>
      <w:r w:rsidR="000D72D1" w:rsidRPr="00E23275">
        <w:t xml:space="preserve"> u 202</w:t>
      </w:r>
      <w:r w:rsidR="00F37F42">
        <w:t>2</w:t>
      </w:r>
      <w:r w:rsidR="000D72D1" w:rsidRPr="00E23275">
        <w:t>.</w:t>
      </w:r>
      <w:r w:rsidRPr="00E23275">
        <w:t xml:space="preserve"> utrošena su za sljedeće rashode iskazane po ekonomskoj klasifikaciji:</w:t>
      </w:r>
    </w:p>
    <w:p w14:paraId="6B66260E" w14:textId="48CED8E7" w:rsidR="00E23275" w:rsidRDefault="00E23275" w:rsidP="00E23275">
      <w:pPr>
        <w:ind w:firstLine="708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8"/>
        <w:gridCol w:w="2905"/>
      </w:tblGrid>
      <w:tr w:rsidR="003A5A9B" w:rsidRPr="003A5A9B" w14:paraId="75BDE6C8" w14:textId="77777777" w:rsidTr="00DC6084">
        <w:trPr>
          <w:trHeight w:val="6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559BE" w14:textId="77777777" w:rsidR="003A5A9B" w:rsidRPr="003A5A9B" w:rsidRDefault="003A5A9B" w:rsidP="003A5A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A5A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A2ACBE" w14:textId="64D9B5A9" w:rsidR="00F57396" w:rsidRDefault="003A5A9B" w:rsidP="00F573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A5A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31.12.202</w:t>
            </w:r>
            <w:r w:rsidR="005E2B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Pr="003A5A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6100C622" w14:textId="49DFA663" w:rsidR="003A5A9B" w:rsidRPr="003A5A9B" w:rsidRDefault="003A5A9B" w:rsidP="00DC60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A5A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HRK</w:t>
            </w:r>
          </w:p>
        </w:tc>
      </w:tr>
      <w:tr w:rsidR="005E2B2B" w:rsidRPr="003A5A9B" w14:paraId="30AD3625" w14:textId="77777777" w:rsidTr="00CE6FC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B7E18" w14:textId="77777777" w:rsidR="005E2B2B" w:rsidRPr="003A5A9B" w:rsidRDefault="005E2B2B" w:rsidP="005E2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5A9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26E1" w14:textId="25E6FDCC" w:rsidR="005E2B2B" w:rsidRPr="003A5A9B" w:rsidRDefault="005E2B2B" w:rsidP="005E2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86.134.248,46 kn </w:t>
            </w:r>
          </w:p>
        </w:tc>
      </w:tr>
      <w:tr w:rsidR="005E2B2B" w:rsidRPr="003A5A9B" w14:paraId="535E795D" w14:textId="77777777" w:rsidTr="00CE6FC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2E9F5" w14:textId="77777777" w:rsidR="005E2B2B" w:rsidRPr="003A5A9B" w:rsidRDefault="005E2B2B" w:rsidP="005E2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5A9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1E8B" w14:textId="766CA912" w:rsidR="005E2B2B" w:rsidRPr="003A5A9B" w:rsidRDefault="005E2B2B" w:rsidP="005E2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30.972.613,65 kn </w:t>
            </w:r>
          </w:p>
        </w:tc>
      </w:tr>
      <w:tr w:rsidR="005E2B2B" w:rsidRPr="003A5A9B" w14:paraId="0A024A5E" w14:textId="77777777" w:rsidTr="00CE6FC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2B54D" w14:textId="77777777" w:rsidR="005E2B2B" w:rsidRPr="003A5A9B" w:rsidRDefault="005E2B2B" w:rsidP="005E2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5A9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4DDF" w14:textId="10391BF2" w:rsidR="005E2B2B" w:rsidRPr="003A5A9B" w:rsidRDefault="005E2B2B" w:rsidP="005E2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306.446,06 kn </w:t>
            </w:r>
          </w:p>
        </w:tc>
      </w:tr>
      <w:tr w:rsidR="005E2B2B" w:rsidRPr="003A5A9B" w14:paraId="220112B9" w14:textId="77777777" w:rsidTr="00CE6FC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BB046" w14:textId="67B12775" w:rsidR="005E2B2B" w:rsidRPr="003A5A9B" w:rsidRDefault="00F665AD" w:rsidP="005E2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22C8" w14:textId="4B5D5B9D" w:rsidR="005E2B2B" w:rsidRPr="003A5A9B" w:rsidRDefault="005E2B2B" w:rsidP="005E2B2B">
            <w:pPr>
              <w:ind w:left="189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22.503,38 kn </w:t>
            </w:r>
          </w:p>
        </w:tc>
      </w:tr>
      <w:tr w:rsidR="005E2B2B" w:rsidRPr="003A5A9B" w14:paraId="1D178C55" w14:textId="77777777" w:rsidTr="00CE6FC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8024D" w14:textId="47E7F43B" w:rsidR="005E2B2B" w:rsidRPr="003A5A9B" w:rsidRDefault="005E2B2B" w:rsidP="005E2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5A9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F665A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F533" w14:textId="59380C08" w:rsidR="005E2B2B" w:rsidRPr="003A5A9B" w:rsidRDefault="005E2B2B" w:rsidP="005E2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869.218,44 kn </w:t>
            </w:r>
          </w:p>
        </w:tc>
      </w:tr>
      <w:tr w:rsidR="005E2B2B" w:rsidRPr="003A5A9B" w14:paraId="60305B83" w14:textId="77777777" w:rsidTr="00CE6FC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6F5473" w14:textId="6AFCCA8A" w:rsidR="005E2B2B" w:rsidRPr="003A5A9B" w:rsidRDefault="005E2B2B" w:rsidP="005E2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5A9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F665AD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82C3" w14:textId="68592881" w:rsidR="005E2B2B" w:rsidRPr="003A5A9B" w:rsidRDefault="005E2B2B" w:rsidP="005E2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438.994,97 kn </w:t>
            </w:r>
          </w:p>
        </w:tc>
      </w:tr>
      <w:tr w:rsidR="005E2B2B" w:rsidRPr="003A5A9B" w14:paraId="5B76B325" w14:textId="77777777" w:rsidTr="00CE6FC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3A747" w14:textId="0B4B6BA9" w:rsidR="005E2B2B" w:rsidRPr="003A5A9B" w:rsidRDefault="00F665AD" w:rsidP="005E2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1DD7" w14:textId="56939949" w:rsidR="005E2B2B" w:rsidRPr="003A5A9B" w:rsidRDefault="005E2B2B" w:rsidP="005E2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32.538,60 kn </w:t>
            </w:r>
          </w:p>
        </w:tc>
      </w:tr>
      <w:tr w:rsidR="005E2B2B" w:rsidRPr="003A5A9B" w14:paraId="7F4A83D1" w14:textId="77777777" w:rsidTr="00CE6FC7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7DD0" w14:textId="7F1B220A" w:rsidR="005E2B2B" w:rsidRPr="003A5A9B" w:rsidRDefault="005E2B2B" w:rsidP="005E2B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7991" w14:textId="4A8A2347" w:rsidR="005E2B2B" w:rsidRPr="003A5A9B" w:rsidRDefault="005E2B2B" w:rsidP="005E2B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E2B2B" w:rsidRPr="003A5A9B" w14:paraId="1B3AFB83" w14:textId="77777777" w:rsidTr="009D77A0">
        <w:trPr>
          <w:trHeight w:val="31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E874" w14:textId="77777777" w:rsidR="005E2B2B" w:rsidRPr="003A5A9B" w:rsidRDefault="005E2B2B" w:rsidP="005E2B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A5A9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89F9" w14:textId="38C181D6" w:rsidR="005E2B2B" w:rsidRPr="003A5A9B" w:rsidRDefault="004067C5" w:rsidP="005E2B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67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118.776.563,56 kn</w:t>
            </w:r>
          </w:p>
        </w:tc>
      </w:tr>
    </w:tbl>
    <w:p w14:paraId="4263EC76" w14:textId="0E733CD8" w:rsidR="00E23275" w:rsidRDefault="00E23275" w:rsidP="00E23275">
      <w:pPr>
        <w:ind w:firstLine="708"/>
        <w:jc w:val="both"/>
      </w:pPr>
    </w:p>
    <w:p w14:paraId="41FBD3BF" w14:textId="7FA82A30" w:rsidR="00017C72" w:rsidRDefault="009D77A0" w:rsidP="00CB29F4">
      <w:pPr>
        <w:jc w:val="both"/>
        <w:rPr>
          <w:iCs/>
        </w:rPr>
      </w:pPr>
      <w:r>
        <w:rPr>
          <w:iCs/>
        </w:rPr>
        <w:tab/>
      </w:r>
      <w:r w:rsidRPr="009D77A0">
        <w:rPr>
          <w:iCs/>
        </w:rPr>
        <w:t xml:space="preserve">Također </w:t>
      </w:r>
      <w:r>
        <w:rPr>
          <w:iCs/>
        </w:rPr>
        <w:t>su</w:t>
      </w:r>
      <w:r w:rsidRPr="009D77A0">
        <w:rPr>
          <w:iCs/>
        </w:rPr>
        <w:t xml:space="preserve"> </w:t>
      </w:r>
      <w:r>
        <w:rPr>
          <w:iCs/>
        </w:rPr>
        <w:t>iz Proračuna Grada Osijeka doznačena sredstva za</w:t>
      </w:r>
      <w:r w:rsidRPr="009D77A0">
        <w:rPr>
          <w:iCs/>
        </w:rPr>
        <w:t xml:space="preserve"> pokriće manjka Hrvatskog narodnog kazališta u Osijeku u iznosu 488.080,00 kn i Gradski</w:t>
      </w:r>
      <w:r>
        <w:rPr>
          <w:iCs/>
        </w:rPr>
        <w:t>h</w:t>
      </w:r>
      <w:r w:rsidRPr="009D77A0">
        <w:rPr>
          <w:iCs/>
        </w:rPr>
        <w:t xml:space="preserve"> galerija Osijek u iznosu 25.016,00 kn.</w:t>
      </w:r>
    </w:p>
    <w:p w14:paraId="216760B5" w14:textId="77777777" w:rsidR="009D77A0" w:rsidRPr="009D77A0" w:rsidRDefault="009D77A0" w:rsidP="00CB29F4">
      <w:pPr>
        <w:jc w:val="both"/>
        <w:rPr>
          <w:iCs/>
        </w:rPr>
      </w:pPr>
    </w:p>
    <w:p w14:paraId="1B6A0B00" w14:textId="070FAD78" w:rsidR="00393070" w:rsidRPr="00145115" w:rsidRDefault="00ED27B0" w:rsidP="00E5468D">
      <w:pPr>
        <w:ind w:firstLine="708"/>
        <w:jc w:val="both"/>
        <w:rPr>
          <w:iCs/>
        </w:rPr>
      </w:pPr>
      <w:r w:rsidRPr="009D77A0">
        <w:rPr>
          <w:iCs/>
        </w:rPr>
        <w:t xml:space="preserve">U procesu konsolidacije eliminiraju se </w:t>
      </w:r>
      <w:r w:rsidR="00E5468D" w:rsidRPr="009D77A0">
        <w:rPr>
          <w:iCs/>
        </w:rPr>
        <w:t xml:space="preserve">i </w:t>
      </w:r>
      <w:r w:rsidRPr="009D77A0">
        <w:rPr>
          <w:iCs/>
        </w:rPr>
        <w:t xml:space="preserve">prihodi iskazani u okviru </w:t>
      </w:r>
      <w:r w:rsidR="00E5468D" w:rsidRPr="009D77A0">
        <w:rPr>
          <w:iCs/>
        </w:rPr>
        <w:t>računa</w:t>
      </w:r>
      <w:r w:rsidRPr="009D77A0">
        <w:rPr>
          <w:iCs/>
        </w:rPr>
        <w:t xml:space="preserve"> 639 i rashodi</w:t>
      </w:r>
      <w:r w:rsidRPr="00635ACA">
        <w:rPr>
          <w:iCs/>
        </w:rPr>
        <w:t xml:space="preserve"> iskazani u okviru računa 369, ukupno </w:t>
      </w:r>
      <w:r w:rsidR="004067C5">
        <w:rPr>
          <w:iCs/>
        </w:rPr>
        <w:t>2.261,67</w:t>
      </w:r>
      <w:r w:rsidRPr="00635ACA">
        <w:rPr>
          <w:iCs/>
        </w:rPr>
        <w:t xml:space="preserve"> kn. </w:t>
      </w:r>
    </w:p>
    <w:p w14:paraId="2954FB0F" w14:textId="77777777" w:rsidR="00017C72" w:rsidRPr="00C83FE2" w:rsidRDefault="00017C72" w:rsidP="00017C72">
      <w:pPr>
        <w:ind w:firstLine="708"/>
        <w:jc w:val="both"/>
        <w:rPr>
          <w:iCs/>
          <w:highlight w:val="yellow"/>
        </w:rPr>
      </w:pPr>
    </w:p>
    <w:p w14:paraId="3C30393A" w14:textId="77777777" w:rsidR="00017C72" w:rsidRPr="006271E0" w:rsidRDefault="00017C72" w:rsidP="00017C72">
      <w:pPr>
        <w:ind w:firstLine="708"/>
        <w:jc w:val="both"/>
      </w:pPr>
      <w:r w:rsidRPr="006271E0">
        <w:rPr>
          <w:iCs/>
        </w:rPr>
        <w:t xml:space="preserve">Decentralizacijom funkcije osnovnog školstva Grad Osijek, kao jedinica lokalne samouprave, preuzeo je obvezu financiranja osnovnih škola na svom teritorijalnom području i to u dijelu materijalnih i ostalih troškova, troškova tekućeg i investicijskog održavanja i kapitalnih izdataka. </w:t>
      </w:r>
      <w:r w:rsidRPr="006271E0">
        <w:t>Jedan dio doznačenih pomoći za decentralizirane funkcije prenamijenjen je iz tekućih rashoda u rashode za nabavu nefinancijske imovine osnovnih škola.</w:t>
      </w:r>
    </w:p>
    <w:p w14:paraId="21104A8D" w14:textId="77777777" w:rsidR="00017C72" w:rsidRPr="008A3492" w:rsidRDefault="00017C72" w:rsidP="00017C72">
      <w:pPr>
        <w:ind w:firstLine="708"/>
        <w:jc w:val="both"/>
        <w:rPr>
          <w:iCs/>
        </w:rPr>
      </w:pPr>
    </w:p>
    <w:p w14:paraId="0908CCF5" w14:textId="77777777" w:rsidR="00017C72" w:rsidRPr="008A3492" w:rsidRDefault="00017C72" w:rsidP="00017C72">
      <w:pPr>
        <w:ind w:firstLine="708"/>
        <w:jc w:val="both"/>
        <w:rPr>
          <w:iCs/>
        </w:rPr>
      </w:pPr>
      <w:r w:rsidRPr="008A3492">
        <w:rPr>
          <w:iCs/>
        </w:rPr>
        <w:t>Iz općih prihoda proračuna školama su doznačena sredstva kojima su financirani rashodi programa produženog boravka u osnovnim školama, pomoćnici za djecu s ADHD poremećajem i posebne aktivnosti mladih, dok je iz sredstava pomoći za EU projekte financiran nastavak projekta Pomoćnici u nastavi za djecu s poteškoćama u učenju kao i projekt Škole jednakih mogućnosti. Istim su, uz sredstva koja Grad Osijek osigurava već godinama iz općih prihoda,  osigurana i dodatna sredstva za financiranje  obroka u osnovnim školama za sve učenike slabijeg imovinskog stanja s područja Grada Osijeka.</w:t>
      </w:r>
    </w:p>
    <w:p w14:paraId="31AB7C4A" w14:textId="77777777" w:rsidR="00017C72" w:rsidRPr="00C83FE2" w:rsidRDefault="00017C72" w:rsidP="00017C72">
      <w:pPr>
        <w:jc w:val="both"/>
        <w:rPr>
          <w:iCs/>
          <w:highlight w:val="yellow"/>
        </w:rPr>
      </w:pPr>
    </w:p>
    <w:p w14:paraId="61A871B7" w14:textId="22A414D7" w:rsidR="00D07D8D" w:rsidRDefault="00E5468D" w:rsidP="003E373E">
      <w:pPr>
        <w:jc w:val="both"/>
        <w:rPr>
          <w:iCs/>
        </w:rPr>
      </w:pPr>
      <w:r>
        <w:rPr>
          <w:b/>
          <w:iCs/>
        </w:rPr>
        <w:t>31</w:t>
      </w:r>
      <w:r>
        <w:rPr>
          <w:b/>
          <w:iCs/>
        </w:rPr>
        <w:tab/>
      </w:r>
      <w:r w:rsidR="00061EC9" w:rsidRPr="000D3159">
        <w:rPr>
          <w:b/>
          <w:iCs/>
        </w:rPr>
        <w:t xml:space="preserve"> </w:t>
      </w:r>
      <w:r w:rsidR="003E373E" w:rsidRPr="000D3159">
        <w:rPr>
          <w:iCs/>
        </w:rPr>
        <w:t xml:space="preserve"> </w:t>
      </w:r>
      <w:r w:rsidR="00061EC9" w:rsidRPr="000D3159">
        <w:rPr>
          <w:iCs/>
        </w:rPr>
        <w:t>R</w:t>
      </w:r>
      <w:r w:rsidR="004F20B3" w:rsidRPr="000D3159">
        <w:rPr>
          <w:iCs/>
        </w:rPr>
        <w:t xml:space="preserve">ashodi za zaposlene </w:t>
      </w:r>
      <w:r w:rsidR="009717FB" w:rsidRPr="000D3159">
        <w:rPr>
          <w:iCs/>
        </w:rPr>
        <w:t xml:space="preserve">iznose </w:t>
      </w:r>
      <w:r w:rsidR="00003F5E">
        <w:rPr>
          <w:iCs/>
        </w:rPr>
        <w:t>302.592.581,38</w:t>
      </w:r>
      <w:r w:rsidR="009D77A0">
        <w:rPr>
          <w:iCs/>
        </w:rPr>
        <w:t xml:space="preserve"> kn</w:t>
      </w:r>
      <w:r w:rsidR="00003F5E">
        <w:rPr>
          <w:iCs/>
        </w:rPr>
        <w:t>,</w:t>
      </w:r>
      <w:r w:rsidR="009D77A0">
        <w:rPr>
          <w:iCs/>
        </w:rPr>
        <w:t xml:space="preserve"> </w:t>
      </w:r>
      <w:r w:rsidR="009717FB" w:rsidRPr="000D3159">
        <w:rPr>
          <w:iCs/>
        </w:rPr>
        <w:t xml:space="preserve">što je za </w:t>
      </w:r>
      <w:r w:rsidR="00003F5E">
        <w:rPr>
          <w:iCs/>
        </w:rPr>
        <w:t xml:space="preserve">18.298.268,38 </w:t>
      </w:r>
      <w:r w:rsidR="006C4F25" w:rsidRPr="000D3159">
        <w:rPr>
          <w:iCs/>
        </w:rPr>
        <w:t>kn više u odnosu na 202</w:t>
      </w:r>
      <w:r w:rsidR="009D77A0">
        <w:rPr>
          <w:iCs/>
        </w:rPr>
        <w:t>1</w:t>
      </w:r>
      <w:r w:rsidR="006C4F25" w:rsidRPr="000D3159">
        <w:rPr>
          <w:iCs/>
        </w:rPr>
        <w:t xml:space="preserve">. </w:t>
      </w:r>
      <w:r w:rsidR="00003F5E">
        <w:rPr>
          <w:iCs/>
        </w:rPr>
        <w:t xml:space="preserve">Na Grad Osijek odnosi se povećanje od 484.929,52 kn, a na proračunske korisnike </w:t>
      </w:r>
      <w:r w:rsidR="007241D0">
        <w:rPr>
          <w:iCs/>
        </w:rPr>
        <w:t>17.813.338,86 kn. Djelatnicima Grada Osijeka u 2022. nije povećavana osnovica, tako da je povećanje u okviru plaća odraz promjena na pojedinim radnim mjestima te povećanja s osnova  ostvarenog minulog rada.</w:t>
      </w:r>
    </w:p>
    <w:p w14:paraId="01CEA62C" w14:textId="0BFC1B23" w:rsidR="00113AB7" w:rsidRDefault="00113AB7" w:rsidP="00D07D8D">
      <w:pPr>
        <w:ind w:firstLine="708"/>
        <w:jc w:val="both"/>
        <w:rPr>
          <w:iCs/>
        </w:rPr>
      </w:pPr>
    </w:p>
    <w:p w14:paraId="73D74E2B" w14:textId="7B47F6AD" w:rsidR="00451BD0" w:rsidRPr="00003F5E" w:rsidRDefault="00003F5E" w:rsidP="00003F5E">
      <w:pPr>
        <w:jc w:val="both"/>
      </w:pPr>
      <w:r>
        <w:rPr>
          <w:iCs/>
        </w:rPr>
        <w:tab/>
      </w:r>
      <w:r w:rsidR="00761C6A" w:rsidRPr="009D77A0">
        <w:rPr>
          <w:iCs/>
        </w:rPr>
        <w:t xml:space="preserve">Od </w:t>
      </w:r>
      <w:r>
        <w:rPr>
          <w:iCs/>
        </w:rPr>
        <w:t xml:space="preserve">pojedinih </w:t>
      </w:r>
      <w:r w:rsidR="00761C6A" w:rsidRPr="009D77A0">
        <w:rPr>
          <w:iCs/>
        </w:rPr>
        <w:t>proračunskih korisnika najveć</w:t>
      </w:r>
      <w:r w:rsidR="00AA740E" w:rsidRPr="009D77A0">
        <w:rPr>
          <w:iCs/>
        </w:rPr>
        <w:t>e</w:t>
      </w:r>
      <w:r w:rsidR="00761C6A" w:rsidRPr="009D77A0">
        <w:rPr>
          <w:iCs/>
        </w:rPr>
        <w:t xml:space="preserve"> povećanje</w:t>
      </w:r>
      <w:r w:rsidR="009D77A0" w:rsidRPr="009D77A0">
        <w:rPr>
          <w:iCs/>
        </w:rPr>
        <w:t xml:space="preserve"> u odnosu na 2021.</w:t>
      </w:r>
      <w:r w:rsidR="00761C6A" w:rsidRPr="009D77A0">
        <w:rPr>
          <w:iCs/>
        </w:rPr>
        <w:t xml:space="preserve"> biljež</w:t>
      </w:r>
      <w:r w:rsidR="00AA740E" w:rsidRPr="009D77A0">
        <w:rPr>
          <w:iCs/>
        </w:rPr>
        <w:t>i</w:t>
      </w:r>
      <w:r w:rsidR="00761C6A" w:rsidRPr="009D77A0">
        <w:rPr>
          <w:iCs/>
        </w:rPr>
        <w:t xml:space="preserve"> Dječji vrtić Osijek u iznosu </w:t>
      </w:r>
      <w:r w:rsidR="009D77A0" w:rsidRPr="009D77A0">
        <w:t xml:space="preserve">4.026.030,14 kn. Povećanje je nastalo temeljem  Odluke Vlade RH u svrhu povećanja osnovice plaće od 4 % (od 01.05.2022.g.) i 6% (od 01.10.2022.g.), te povećanja </w:t>
      </w:r>
      <w:r w:rsidR="009D77A0" w:rsidRPr="009D77A0">
        <w:lastRenderedPageBreak/>
        <w:t>koeficijenta plaće za 6,11 % (dug iz 2019.g., s primjenom od 01.10.2022.g.). Isto tako, 43 odgojiteljice koje su bile zaposlene 4 godine na određeno radno vrijeme, zaposlene su na neodređeno radno vrijeme putem natječaja.</w:t>
      </w:r>
      <w:r>
        <w:t xml:space="preserve"> Navedeno povećanje </w:t>
      </w:r>
      <w:r w:rsidR="00BF7996">
        <w:t>osnovice</w:t>
      </w:r>
      <w:r>
        <w:t xml:space="preserve"> odnosi se i na zaposlene u osnovnim školama te Javnoj vatrogasnoj postrojbi </w:t>
      </w:r>
      <w:r w:rsidR="00BF7996">
        <w:t xml:space="preserve">Grada </w:t>
      </w:r>
      <w:r>
        <w:t>Osijek</w:t>
      </w:r>
      <w:r w:rsidR="00BF7996">
        <w:t>a</w:t>
      </w:r>
      <w:r>
        <w:t>.</w:t>
      </w:r>
    </w:p>
    <w:p w14:paraId="09834DBF" w14:textId="77777777" w:rsidR="00241A82" w:rsidRPr="000D3159" w:rsidRDefault="00241A82" w:rsidP="00327BF2">
      <w:pPr>
        <w:jc w:val="both"/>
        <w:rPr>
          <w:iCs/>
        </w:rPr>
      </w:pPr>
    </w:p>
    <w:p w14:paraId="6DEEC89A" w14:textId="12F5F70A" w:rsidR="00061EC9" w:rsidRDefault="00061EC9" w:rsidP="003E373E">
      <w:pPr>
        <w:jc w:val="both"/>
        <w:rPr>
          <w:iCs/>
          <w:highlight w:val="yellow"/>
        </w:rPr>
      </w:pPr>
    </w:p>
    <w:p w14:paraId="386112A6" w14:textId="79258CE1" w:rsidR="006B508F" w:rsidRDefault="00317A99" w:rsidP="006B508F">
      <w:pPr>
        <w:jc w:val="both"/>
        <w:rPr>
          <w:bCs/>
          <w:iCs/>
        </w:rPr>
      </w:pPr>
      <w:r>
        <w:rPr>
          <w:b/>
          <w:iCs/>
        </w:rPr>
        <w:t>32</w:t>
      </w:r>
      <w:r>
        <w:rPr>
          <w:b/>
          <w:iCs/>
        </w:rPr>
        <w:tab/>
      </w:r>
      <w:r w:rsidR="00211FDE">
        <w:rPr>
          <w:b/>
          <w:iCs/>
        </w:rPr>
        <w:t xml:space="preserve"> </w:t>
      </w:r>
      <w:r w:rsidR="00357C3E">
        <w:rPr>
          <w:bCs/>
          <w:iCs/>
        </w:rPr>
        <w:t xml:space="preserve">Materijalni rashodi iznose </w:t>
      </w:r>
      <w:r>
        <w:rPr>
          <w:bCs/>
          <w:iCs/>
        </w:rPr>
        <w:t>182</w:t>
      </w:r>
      <w:r w:rsidR="00357C3E">
        <w:rPr>
          <w:bCs/>
          <w:iCs/>
        </w:rPr>
        <w:t>.</w:t>
      </w:r>
      <w:r>
        <w:rPr>
          <w:bCs/>
          <w:iCs/>
        </w:rPr>
        <w:t>918</w:t>
      </w:r>
      <w:r w:rsidR="00357C3E">
        <w:rPr>
          <w:bCs/>
          <w:iCs/>
        </w:rPr>
        <w:t>.</w:t>
      </w:r>
      <w:r>
        <w:rPr>
          <w:bCs/>
          <w:iCs/>
        </w:rPr>
        <w:t>115,02</w:t>
      </w:r>
      <w:r w:rsidR="00357C3E">
        <w:rPr>
          <w:bCs/>
          <w:iCs/>
        </w:rPr>
        <w:t xml:space="preserve"> kn i veći su za </w:t>
      </w:r>
      <w:r w:rsidR="006B508F">
        <w:rPr>
          <w:bCs/>
          <w:iCs/>
        </w:rPr>
        <w:t>25.391.708</w:t>
      </w:r>
      <w:r w:rsidR="00233A42">
        <w:rPr>
          <w:bCs/>
          <w:iCs/>
        </w:rPr>
        <w:t>,0</w:t>
      </w:r>
      <w:r w:rsidR="006B508F">
        <w:rPr>
          <w:bCs/>
          <w:iCs/>
        </w:rPr>
        <w:t xml:space="preserve">2 kn ili </w:t>
      </w:r>
      <w:r w:rsidR="00357C3E">
        <w:rPr>
          <w:bCs/>
          <w:iCs/>
        </w:rPr>
        <w:t>16</w:t>
      </w:r>
      <w:r>
        <w:rPr>
          <w:bCs/>
          <w:iCs/>
        </w:rPr>
        <w:t>,1</w:t>
      </w:r>
      <w:r w:rsidR="00357C3E">
        <w:rPr>
          <w:bCs/>
          <w:iCs/>
        </w:rPr>
        <w:t>% u odnosu na 202</w:t>
      </w:r>
      <w:r>
        <w:rPr>
          <w:bCs/>
          <w:iCs/>
        </w:rPr>
        <w:t>2</w:t>
      </w:r>
      <w:r w:rsidR="00357C3E">
        <w:rPr>
          <w:bCs/>
          <w:iCs/>
        </w:rPr>
        <w:t>. godinu</w:t>
      </w:r>
      <w:r w:rsidR="006B508F">
        <w:rPr>
          <w:bCs/>
          <w:iCs/>
        </w:rPr>
        <w:t>,</w:t>
      </w:r>
      <w:r w:rsidR="00E95A86">
        <w:rPr>
          <w:bCs/>
          <w:iCs/>
        </w:rPr>
        <w:t xml:space="preserve"> od čega se na Grad odnosi</w:t>
      </w:r>
      <w:r w:rsidR="009974B2">
        <w:rPr>
          <w:bCs/>
          <w:iCs/>
        </w:rPr>
        <w:t xml:space="preserve"> </w:t>
      </w:r>
      <w:r w:rsidR="008A1A1F">
        <w:rPr>
          <w:bCs/>
          <w:iCs/>
        </w:rPr>
        <w:t>povećanje od</w:t>
      </w:r>
      <w:r w:rsidR="00E95A86">
        <w:rPr>
          <w:bCs/>
          <w:iCs/>
        </w:rPr>
        <w:t xml:space="preserve"> </w:t>
      </w:r>
      <w:r w:rsidR="006B508F">
        <w:rPr>
          <w:bCs/>
          <w:iCs/>
        </w:rPr>
        <w:t>14</w:t>
      </w:r>
      <w:r w:rsidR="00E95A86">
        <w:rPr>
          <w:bCs/>
          <w:iCs/>
        </w:rPr>
        <w:t>.</w:t>
      </w:r>
      <w:r w:rsidR="006B508F">
        <w:rPr>
          <w:bCs/>
          <w:iCs/>
        </w:rPr>
        <w:t>866</w:t>
      </w:r>
      <w:r w:rsidR="00E95A86">
        <w:rPr>
          <w:bCs/>
          <w:iCs/>
        </w:rPr>
        <w:t>.</w:t>
      </w:r>
      <w:r w:rsidR="006B508F">
        <w:rPr>
          <w:bCs/>
          <w:iCs/>
        </w:rPr>
        <w:t>083,18</w:t>
      </w:r>
      <w:r w:rsidR="00E95A86">
        <w:rPr>
          <w:bCs/>
          <w:iCs/>
        </w:rPr>
        <w:t xml:space="preserve"> kn</w:t>
      </w:r>
      <w:r w:rsidR="001D104B">
        <w:rPr>
          <w:bCs/>
          <w:iCs/>
        </w:rPr>
        <w:t xml:space="preserve"> a proračunske korisnike 10.525.624,84 kn.</w:t>
      </w:r>
    </w:p>
    <w:p w14:paraId="03E0D96C" w14:textId="3CE7B34F" w:rsidR="009714A7" w:rsidRDefault="006B508F" w:rsidP="009714A7">
      <w:pPr>
        <w:jc w:val="both"/>
      </w:pPr>
      <w:r>
        <w:tab/>
      </w:r>
      <w:r w:rsidRPr="00E917D7">
        <w:t>Najznačajnija povećanja</w:t>
      </w:r>
      <w:r>
        <w:t xml:space="preserve"> Grada</w:t>
      </w:r>
      <w:r w:rsidRPr="00E917D7">
        <w:t xml:space="preserve"> su u okviru rashoda za usluge i ostalih nespomenutih rashoda poslovanja. Ovdje izdvajamo porast rashoda za poštarine uslijed izdavanja novih rješenja za komunalnu naknadu.  </w:t>
      </w:r>
      <w:r>
        <w:t xml:space="preserve">Prijevoz sportaša u iznosu 2.940.000,00 kn u 2022. ugovoren je s tvrtkom GPP d.o.o. Osijek i iskazan u okviru ovih rashoda, dok je u prethodnim godinama isto izvršavano prijenosom sredstava Zajednici sportova Grada Osijeka. Povećanje je vidljivo i na troškovima održavanja infrastrukture Grada Osijeka, posebice u dijelu komunalne infrastrukture, cesta i javnih površina. </w:t>
      </w:r>
      <w:r w:rsidRPr="00E917D7">
        <w:t xml:space="preserve">Ostale usluge (šifra 3239) veće su  kao rezultat implementacije ESCO modela javne rasvjete (povećanje ovih rashoda direktno je vezano sa smanjenjem rashoda za električnu energiju javne rasvjete). </w:t>
      </w:r>
      <w:r w:rsidR="009714A7" w:rsidRPr="00E917D7">
        <w:t xml:space="preserve">Najznačajniji rast u okviru materijalnih rashoda vidljiv je na troškovima sudskih postupaka koji su veći </w:t>
      </w:r>
      <w:r w:rsidR="009714A7" w:rsidRPr="00621526">
        <w:t>za 5.164.834,91kn</w:t>
      </w:r>
      <w:r w:rsidR="00621526">
        <w:t xml:space="preserve"> </w:t>
      </w:r>
      <w:r w:rsidR="009714A7" w:rsidRPr="00E917D7">
        <w:t xml:space="preserve"> uslijed izgubljenih sudskih sporova  vezanih za vlasništvo ( zemljište u </w:t>
      </w:r>
      <w:proofErr w:type="spellStart"/>
      <w:r w:rsidR="009714A7" w:rsidRPr="00E917D7">
        <w:t>Šamačkoj</w:t>
      </w:r>
      <w:proofErr w:type="spellEnd"/>
      <w:r w:rsidR="009714A7" w:rsidRPr="00E917D7">
        <w:t xml:space="preserve"> ulici i ZOIS).</w:t>
      </w:r>
    </w:p>
    <w:p w14:paraId="0C075F78" w14:textId="77777777" w:rsidR="009714A7" w:rsidRDefault="009714A7" w:rsidP="006B508F">
      <w:pPr>
        <w:ind w:hanging="705"/>
        <w:jc w:val="both"/>
      </w:pPr>
      <w:r>
        <w:tab/>
      </w:r>
      <w:r w:rsidR="006B508F" w:rsidRPr="00E917D7">
        <w:t>Iako nije financijski značajno, povećanje je također vezano za troškove službenih putovanja koji su prošle godine bili neznatni uslijed pandemije COVID 19, troškove uredskog materijala, sitnog inventara i auto guma</w:t>
      </w:r>
      <w:r w:rsidR="006B508F">
        <w:t>.</w:t>
      </w:r>
    </w:p>
    <w:p w14:paraId="7F153B4C" w14:textId="638301C0" w:rsidR="006B508F" w:rsidRDefault="009714A7" w:rsidP="006B508F">
      <w:pPr>
        <w:ind w:hanging="705"/>
        <w:jc w:val="both"/>
      </w:pPr>
      <w:r>
        <w:tab/>
      </w:r>
      <w:r w:rsidR="006B508F">
        <w:t xml:space="preserve"> </w:t>
      </w:r>
      <w:r w:rsidR="001D104B">
        <w:t>Kod proračunskih korisnika najznačajnije povećanje vezano je za cijenu energenata (struja, plin) i namirnica</w:t>
      </w:r>
      <w:r>
        <w:t>, naknade troškova zaposlenima (troškovi službenih putovanja i prijevoza, koji su bili znatno manji u 2021. uslijed pandemije COVID-a 19) te drugih materijalnih rashoda koji se povećavaju uslijed djelovanja inflacije</w:t>
      </w:r>
      <w:r w:rsidR="005D1A34">
        <w:t>, kao i povratka na puni opseg djelatnosti proračunskih korisnika.</w:t>
      </w:r>
    </w:p>
    <w:p w14:paraId="33E7111F" w14:textId="42889B18" w:rsidR="005D1A34" w:rsidRDefault="005D1A34" w:rsidP="006B508F">
      <w:pPr>
        <w:ind w:hanging="705"/>
        <w:jc w:val="both"/>
      </w:pPr>
    </w:p>
    <w:p w14:paraId="0DB2B07A" w14:textId="048441C0" w:rsidR="005D1A34" w:rsidRPr="00BF7996" w:rsidRDefault="005D1A34" w:rsidP="006B508F">
      <w:pPr>
        <w:ind w:hanging="705"/>
        <w:jc w:val="both"/>
      </w:pPr>
      <w:r w:rsidRPr="00BF7996">
        <w:tab/>
      </w:r>
      <w:r w:rsidRPr="00BF7996">
        <w:rPr>
          <w:b/>
          <w:bCs/>
        </w:rPr>
        <w:t>3433</w:t>
      </w:r>
      <w:r w:rsidRPr="00BF7996">
        <w:tab/>
        <w:t xml:space="preserve">Rast rashoda iznosi 384.018,96 kn i </w:t>
      </w:r>
      <w:r w:rsidR="00BF7996" w:rsidRPr="00BF7996">
        <w:t xml:space="preserve">najvećim dijelom je </w:t>
      </w:r>
      <w:r w:rsidRPr="00BF7996">
        <w:t xml:space="preserve">vezan za </w:t>
      </w:r>
      <w:r w:rsidR="00BF7996" w:rsidRPr="00BF7996">
        <w:t>izgubljene radne sporove osnovnih škola vezano za isplatu plaća i drugih rashoda za zaposlene.</w:t>
      </w:r>
    </w:p>
    <w:p w14:paraId="45771C8B" w14:textId="77777777" w:rsidR="005D1A34" w:rsidRPr="005D1A34" w:rsidRDefault="005D1A34" w:rsidP="005D1A34">
      <w:pPr>
        <w:ind w:left="705" w:hanging="705"/>
        <w:jc w:val="both"/>
        <w:rPr>
          <w:b/>
          <w:bCs/>
          <w:color w:val="FF0000"/>
        </w:rPr>
      </w:pPr>
    </w:p>
    <w:p w14:paraId="63AB457C" w14:textId="351BFFBB" w:rsidR="005D1A34" w:rsidRDefault="005D1A34" w:rsidP="005D1A34">
      <w:pPr>
        <w:jc w:val="both"/>
      </w:pPr>
      <w:r w:rsidRPr="00BA56AF">
        <w:rPr>
          <w:b/>
          <w:bCs/>
        </w:rPr>
        <w:t>3434</w:t>
      </w:r>
      <w:r>
        <w:tab/>
        <w:t>Rast ovih rashoda vezan je za troškove Grada pri rješavanja imovinsko-pravnih poslova (eksproprijacija) u iznosu 1.511.549,28 kn, naknade HBOR-u za prijevremenu otplatu kredita (refinanciranje) u iznosu 247.605,56 kn i dr.</w:t>
      </w:r>
    </w:p>
    <w:p w14:paraId="614D9012" w14:textId="77777777" w:rsidR="0063701F" w:rsidRDefault="0063701F" w:rsidP="0063701F">
      <w:pPr>
        <w:ind w:left="705" w:hanging="705"/>
        <w:jc w:val="both"/>
        <w:rPr>
          <w:b/>
          <w:bCs/>
        </w:rPr>
      </w:pPr>
    </w:p>
    <w:p w14:paraId="5EE8ADB2" w14:textId="04197FEE" w:rsidR="0063701F" w:rsidRDefault="0063701F" w:rsidP="0063701F">
      <w:pPr>
        <w:ind w:left="705" w:hanging="705"/>
        <w:jc w:val="both"/>
      </w:pPr>
      <w:r w:rsidRPr="00BA56AF">
        <w:rPr>
          <w:b/>
          <w:bCs/>
        </w:rPr>
        <w:t>35</w:t>
      </w:r>
      <w:r w:rsidRPr="00E917D7">
        <w:tab/>
      </w:r>
      <w:r>
        <w:t xml:space="preserve">Subvencije su utrošene u iznosu 72.750.220,49 kn i veće su u odnosu na prethodnu godinu za 10.994.260,49 kn ili 17,8%. Izvršenje subvencija u 2022. u odnosu na 2021. prikazano je u nastavku. </w:t>
      </w:r>
    </w:p>
    <w:p w14:paraId="7E42EDB8" w14:textId="68A694E4" w:rsidR="009765C4" w:rsidRDefault="009765C4" w:rsidP="0063701F">
      <w:pPr>
        <w:ind w:left="705" w:hanging="705"/>
        <w:jc w:val="both"/>
      </w:pPr>
    </w:p>
    <w:p w14:paraId="59AAE224" w14:textId="0BB26DD3" w:rsidR="009765C4" w:rsidRDefault="009765C4" w:rsidP="0063701F">
      <w:pPr>
        <w:ind w:left="705" w:hanging="705"/>
        <w:jc w:val="both"/>
      </w:pPr>
    </w:p>
    <w:p w14:paraId="572BFCF6" w14:textId="463E5787" w:rsidR="009765C4" w:rsidRDefault="009765C4" w:rsidP="0063701F">
      <w:pPr>
        <w:ind w:left="705" w:hanging="705"/>
        <w:jc w:val="both"/>
      </w:pPr>
    </w:p>
    <w:p w14:paraId="60B0BF77" w14:textId="77777777" w:rsidR="00F2227D" w:rsidRDefault="00F2227D" w:rsidP="0063701F">
      <w:pPr>
        <w:ind w:left="705" w:hanging="705"/>
        <w:jc w:val="both"/>
      </w:pPr>
    </w:p>
    <w:p w14:paraId="4BFCF8C3" w14:textId="42E02B81" w:rsidR="009765C4" w:rsidRDefault="009765C4" w:rsidP="0063701F">
      <w:pPr>
        <w:ind w:left="705" w:hanging="705"/>
        <w:jc w:val="both"/>
      </w:pPr>
    </w:p>
    <w:p w14:paraId="2CF1C576" w14:textId="5231124A" w:rsidR="009765C4" w:rsidRDefault="009765C4" w:rsidP="0063701F">
      <w:pPr>
        <w:ind w:left="705" w:hanging="705"/>
        <w:jc w:val="both"/>
      </w:pPr>
    </w:p>
    <w:p w14:paraId="3F97733B" w14:textId="77777777" w:rsidR="009765C4" w:rsidRDefault="009765C4" w:rsidP="0063701F">
      <w:pPr>
        <w:ind w:left="705" w:hanging="705"/>
        <w:jc w:val="both"/>
      </w:pPr>
    </w:p>
    <w:tbl>
      <w:tblPr>
        <w:tblW w:w="9320" w:type="dxa"/>
        <w:tblLook w:val="04A0" w:firstRow="1" w:lastRow="0" w:firstColumn="1" w:lastColumn="0" w:noHBand="0" w:noVBand="1"/>
      </w:tblPr>
      <w:tblGrid>
        <w:gridCol w:w="3220"/>
        <w:gridCol w:w="1720"/>
        <w:gridCol w:w="1720"/>
        <w:gridCol w:w="1720"/>
        <w:gridCol w:w="940"/>
      </w:tblGrid>
      <w:tr w:rsidR="0063701F" w:rsidRPr="00DA05C7" w14:paraId="44EBB1F1" w14:textId="77777777" w:rsidTr="00AD260D">
        <w:trPr>
          <w:trHeight w:val="48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F5C772F" w14:textId="77777777" w:rsidR="0063701F" w:rsidRPr="00DA05C7" w:rsidRDefault="0063701F" w:rsidP="00AD26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A05C7">
              <w:rPr>
                <w:b/>
                <w:bCs/>
                <w:color w:val="000000"/>
                <w:sz w:val="20"/>
                <w:szCs w:val="20"/>
              </w:rPr>
              <w:lastRenderedPageBreak/>
              <w:t>Subvencije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95500AB" w14:textId="77777777" w:rsidR="0063701F" w:rsidRPr="00DA05C7" w:rsidRDefault="0063701F" w:rsidP="00AD26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A05C7">
              <w:rPr>
                <w:b/>
                <w:bCs/>
                <w:color w:val="000000"/>
                <w:sz w:val="20"/>
                <w:szCs w:val="20"/>
              </w:rPr>
              <w:t>Izvršenje 2021.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D077B9D" w14:textId="77777777" w:rsidR="0063701F" w:rsidRPr="00DA05C7" w:rsidRDefault="0063701F" w:rsidP="00AD26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A05C7">
              <w:rPr>
                <w:b/>
                <w:bCs/>
                <w:color w:val="000000"/>
                <w:sz w:val="20"/>
                <w:szCs w:val="20"/>
              </w:rPr>
              <w:t>Izvršenje 2022.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1DE131" w14:textId="77777777" w:rsidR="0063701F" w:rsidRPr="00DA05C7" w:rsidRDefault="0063701F" w:rsidP="00AD26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A05C7">
              <w:rPr>
                <w:b/>
                <w:bCs/>
                <w:color w:val="000000"/>
                <w:sz w:val="20"/>
                <w:szCs w:val="20"/>
              </w:rPr>
              <w:t>Razlika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55069E" w14:textId="77777777" w:rsidR="0063701F" w:rsidRPr="00DA05C7" w:rsidRDefault="0063701F" w:rsidP="00AD26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A05C7">
              <w:rPr>
                <w:b/>
                <w:bCs/>
                <w:color w:val="000000"/>
                <w:sz w:val="20"/>
                <w:szCs w:val="20"/>
              </w:rPr>
              <w:t>Indeks 3/2</w:t>
            </w:r>
          </w:p>
        </w:tc>
      </w:tr>
      <w:tr w:rsidR="0063701F" w:rsidRPr="00DA05C7" w14:paraId="07394FE9" w14:textId="77777777" w:rsidTr="00AD260D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1163C86" w14:textId="77777777" w:rsidR="0063701F" w:rsidRPr="00DA05C7" w:rsidRDefault="0063701F" w:rsidP="00AD26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A05C7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1CAF94" w14:textId="77777777" w:rsidR="0063701F" w:rsidRPr="00DA05C7" w:rsidRDefault="0063701F" w:rsidP="00AD26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A05C7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088A4E0" w14:textId="77777777" w:rsidR="0063701F" w:rsidRPr="00DA05C7" w:rsidRDefault="0063701F" w:rsidP="00AD26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A05C7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529CC44" w14:textId="77777777" w:rsidR="0063701F" w:rsidRPr="00DA05C7" w:rsidRDefault="0063701F" w:rsidP="00AD26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A05C7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F8E0A97" w14:textId="77777777" w:rsidR="0063701F" w:rsidRPr="00DA05C7" w:rsidRDefault="0063701F" w:rsidP="00AD26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A05C7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63701F" w:rsidRPr="00DA05C7" w14:paraId="00F84D74" w14:textId="77777777" w:rsidTr="00AD260D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B620E" w14:textId="77777777" w:rsidR="0063701F" w:rsidRPr="00DA05C7" w:rsidRDefault="0063701F" w:rsidP="00AD260D">
            <w:pPr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Subvencije trgovačkim društvima u javnom sektoru-</w:t>
            </w:r>
            <w:r w:rsidRPr="00DA05C7">
              <w:rPr>
                <w:b/>
                <w:bCs/>
                <w:color w:val="000000"/>
                <w:sz w:val="20"/>
                <w:szCs w:val="20"/>
              </w:rPr>
              <w:t xml:space="preserve">GPP </w:t>
            </w:r>
            <w:proofErr w:type="spellStart"/>
            <w:r w:rsidRPr="00DA05C7">
              <w:rPr>
                <w:b/>
                <w:bCs/>
                <w:color w:val="000000"/>
                <w:sz w:val="20"/>
                <w:szCs w:val="20"/>
              </w:rPr>
              <w:t>d.o.o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D86B4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24.600.000,00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59C81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34.460.000,00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1D71C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9.860.000,00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60346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140,08</w:t>
            </w:r>
          </w:p>
        </w:tc>
      </w:tr>
      <w:tr w:rsidR="0063701F" w:rsidRPr="00DA05C7" w14:paraId="34EB5231" w14:textId="77777777" w:rsidTr="00AD260D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01762" w14:textId="77777777" w:rsidR="0063701F" w:rsidRPr="00DA05C7" w:rsidRDefault="0063701F" w:rsidP="00AD260D">
            <w:pPr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 xml:space="preserve">Subvencije trgovačkim društvima u javnom sektoru - </w:t>
            </w:r>
            <w:r w:rsidRPr="00DA05C7">
              <w:rPr>
                <w:b/>
                <w:bCs/>
                <w:color w:val="000000"/>
                <w:sz w:val="20"/>
                <w:szCs w:val="20"/>
              </w:rPr>
              <w:t>Športski objekti d.o.o.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DE5F0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19.040.000,00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B1D99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21.200.000,00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B68B2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2.160.000,00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C6715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111,34</w:t>
            </w:r>
          </w:p>
        </w:tc>
      </w:tr>
      <w:tr w:rsidR="0063701F" w:rsidRPr="00DA05C7" w14:paraId="47699BDE" w14:textId="77777777" w:rsidTr="00AD260D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CF92B" w14:textId="77777777" w:rsidR="0063701F" w:rsidRPr="00DA05C7" w:rsidRDefault="0063701F" w:rsidP="00AD260D">
            <w:pPr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Subvencije trgovačkim društvima u javnom sektoru-</w:t>
            </w:r>
            <w:proofErr w:type="spellStart"/>
            <w:r w:rsidRPr="00DA05C7">
              <w:rPr>
                <w:b/>
                <w:bCs/>
                <w:color w:val="000000"/>
                <w:sz w:val="20"/>
                <w:szCs w:val="20"/>
              </w:rPr>
              <w:t>Unikom</w:t>
            </w:r>
            <w:proofErr w:type="spellEnd"/>
            <w:r w:rsidRPr="00DA05C7">
              <w:rPr>
                <w:b/>
                <w:bCs/>
                <w:color w:val="000000"/>
                <w:sz w:val="20"/>
                <w:szCs w:val="20"/>
              </w:rPr>
              <w:t xml:space="preserve"> d.o.o. Zoo vrt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FB884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5.000.000,00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68E3E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3.900.000,00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BEF1C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-1.100.000,00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0F87C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78,00</w:t>
            </w:r>
          </w:p>
        </w:tc>
      </w:tr>
      <w:tr w:rsidR="0063701F" w:rsidRPr="00DA05C7" w14:paraId="30077C76" w14:textId="77777777" w:rsidTr="00AD260D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D6000" w14:textId="77777777" w:rsidR="0063701F" w:rsidRPr="00DA05C7" w:rsidRDefault="0063701F" w:rsidP="00AD260D">
            <w:pPr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Poticanje razvoja poduzetništva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8BD5B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4.272.404,72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558B4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4.500.000,01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8A29E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227.595,29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36E34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105,33</w:t>
            </w:r>
          </w:p>
        </w:tc>
      </w:tr>
      <w:tr w:rsidR="0063701F" w:rsidRPr="00DA05C7" w14:paraId="76FEC44D" w14:textId="77777777" w:rsidTr="00AD260D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E7DDB" w14:textId="77777777" w:rsidR="0063701F" w:rsidRPr="00DA05C7" w:rsidRDefault="0063701F" w:rsidP="00AD260D">
            <w:pPr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 xml:space="preserve">Otplata </w:t>
            </w:r>
            <w:proofErr w:type="spellStart"/>
            <w:r w:rsidRPr="00DA05C7">
              <w:rPr>
                <w:color w:val="000000"/>
                <w:sz w:val="20"/>
                <w:szCs w:val="20"/>
              </w:rPr>
              <w:t>cash</w:t>
            </w:r>
            <w:proofErr w:type="spellEnd"/>
            <w:r w:rsidRPr="00DA05C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5C7">
              <w:rPr>
                <w:color w:val="000000"/>
                <w:sz w:val="20"/>
                <w:szCs w:val="20"/>
              </w:rPr>
              <w:t>poola</w:t>
            </w:r>
            <w:proofErr w:type="spellEnd"/>
            <w:r w:rsidRPr="00DA05C7">
              <w:rPr>
                <w:color w:val="000000"/>
                <w:sz w:val="20"/>
                <w:szCs w:val="20"/>
              </w:rPr>
              <w:t>-</w:t>
            </w:r>
            <w:r w:rsidRPr="00DA05C7">
              <w:rPr>
                <w:b/>
                <w:bCs/>
                <w:color w:val="000000"/>
                <w:sz w:val="20"/>
                <w:szCs w:val="20"/>
              </w:rPr>
              <w:t>Ukop d.o.o.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6F085F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1.617.287,42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1037C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1.167.573,44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F7B78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-449.713,98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991E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72,19</w:t>
            </w:r>
          </w:p>
        </w:tc>
      </w:tr>
      <w:tr w:rsidR="0063701F" w:rsidRPr="00DA05C7" w14:paraId="31E0A8A9" w14:textId="77777777" w:rsidTr="00AD260D">
        <w:trPr>
          <w:trHeight w:val="7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DA4DA" w14:textId="77777777" w:rsidR="0063701F" w:rsidRPr="00DA05C7" w:rsidRDefault="0063701F" w:rsidP="00AD260D">
            <w:pPr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 xml:space="preserve">Subvencije trgovačkim društvima u javnom sektoru - </w:t>
            </w:r>
            <w:r w:rsidRPr="00DA05C7">
              <w:rPr>
                <w:b/>
                <w:bCs/>
                <w:color w:val="000000"/>
                <w:sz w:val="20"/>
                <w:szCs w:val="20"/>
              </w:rPr>
              <w:t>Športski objekti d.o.o. - Izgradnja, opremanje i hitne intervencije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A01CE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1.278.645,11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42809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450.000,00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09FD6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-828.645,11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0A1EB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35,19</w:t>
            </w:r>
          </w:p>
        </w:tc>
      </w:tr>
      <w:tr w:rsidR="0063701F" w:rsidRPr="00DA05C7" w14:paraId="0E3E2BF0" w14:textId="77777777" w:rsidTr="00AD260D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331A4" w14:textId="77777777" w:rsidR="0063701F" w:rsidRPr="00DA05C7" w:rsidRDefault="0063701F" w:rsidP="00AD260D">
            <w:pPr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 xml:space="preserve">Otplata </w:t>
            </w:r>
            <w:proofErr w:type="spellStart"/>
            <w:r w:rsidRPr="00DA05C7">
              <w:rPr>
                <w:color w:val="000000"/>
                <w:sz w:val="20"/>
                <w:szCs w:val="20"/>
              </w:rPr>
              <w:t>cash</w:t>
            </w:r>
            <w:proofErr w:type="spellEnd"/>
            <w:r w:rsidRPr="00DA05C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5C7">
              <w:rPr>
                <w:color w:val="000000"/>
                <w:sz w:val="20"/>
                <w:szCs w:val="20"/>
              </w:rPr>
              <w:t>poola</w:t>
            </w:r>
            <w:proofErr w:type="spellEnd"/>
            <w:r w:rsidRPr="00DA05C7">
              <w:rPr>
                <w:color w:val="000000"/>
                <w:sz w:val="20"/>
                <w:szCs w:val="20"/>
              </w:rPr>
              <w:t xml:space="preserve"> - GPP</w:t>
            </w:r>
            <w:r w:rsidRPr="00DA05C7">
              <w:rPr>
                <w:b/>
                <w:bCs/>
                <w:color w:val="000000"/>
                <w:sz w:val="20"/>
                <w:szCs w:val="20"/>
              </w:rPr>
              <w:t xml:space="preserve"> d.o.o.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8416AC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1.022.639,44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66CA3C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1.001.083,10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91C1D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-21.556,34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866D8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97,89</w:t>
            </w:r>
          </w:p>
        </w:tc>
      </w:tr>
      <w:tr w:rsidR="0063701F" w:rsidRPr="00DA05C7" w14:paraId="25FBDC07" w14:textId="77777777" w:rsidTr="00AD260D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843E6" w14:textId="77777777" w:rsidR="0063701F" w:rsidRPr="00DA05C7" w:rsidRDefault="0063701F" w:rsidP="00AD260D">
            <w:pPr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 xml:space="preserve">Subvencija uvođenja  jeftinih međunarodnih i domaćih zračnih linija </w:t>
            </w:r>
            <w:r w:rsidRPr="00DA05C7">
              <w:rPr>
                <w:b/>
                <w:bCs/>
                <w:color w:val="000000"/>
                <w:sz w:val="20"/>
                <w:szCs w:val="20"/>
              </w:rPr>
              <w:t>Zračna luka Osijek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17A63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1.000.000,00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10BC5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1.500.000,00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D7350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D8960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63701F" w:rsidRPr="00DA05C7" w14:paraId="0521556E" w14:textId="77777777" w:rsidTr="00AD260D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4BC34" w14:textId="77777777" w:rsidR="0063701F" w:rsidRPr="00DA05C7" w:rsidRDefault="0063701F" w:rsidP="00AD260D">
            <w:pPr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 xml:space="preserve">Subvencije </w:t>
            </w:r>
            <w:r w:rsidRPr="00DA05C7">
              <w:rPr>
                <w:b/>
                <w:bCs/>
                <w:color w:val="000000"/>
                <w:sz w:val="20"/>
                <w:szCs w:val="20"/>
              </w:rPr>
              <w:t>Osječkom sajmu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4F18D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900.000,00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3A62E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1.000.000,00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B2B7F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0797B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111,11</w:t>
            </w:r>
          </w:p>
        </w:tc>
      </w:tr>
      <w:tr w:rsidR="0063701F" w:rsidRPr="00DA05C7" w14:paraId="62ED81E5" w14:textId="77777777" w:rsidTr="00AD260D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7063F" w14:textId="77777777" w:rsidR="0063701F" w:rsidRPr="00DA05C7" w:rsidRDefault="0063701F" w:rsidP="00AD260D">
            <w:pPr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Subvencije trgovačkim društvima u javnom sektoru</w:t>
            </w:r>
            <w:r w:rsidRPr="00DA05C7">
              <w:rPr>
                <w:b/>
                <w:bCs/>
                <w:color w:val="000000"/>
                <w:sz w:val="20"/>
                <w:szCs w:val="20"/>
              </w:rPr>
              <w:t>-Ukop d.o.o.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177BF2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800.000,00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AE3D4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943.000,00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331F3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143.000,00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033BB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117,88</w:t>
            </w:r>
          </w:p>
        </w:tc>
      </w:tr>
      <w:tr w:rsidR="0063701F" w:rsidRPr="00DA05C7" w14:paraId="391EEC67" w14:textId="77777777" w:rsidTr="00AD260D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D1CDC" w14:textId="77777777" w:rsidR="0063701F" w:rsidRPr="00DA05C7" w:rsidRDefault="0063701F" w:rsidP="00AD260D">
            <w:pPr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 xml:space="preserve">Subvencija Poduzetničkom inkubatoru </w:t>
            </w:r>
            <w:r w:rsidRPr="00DA05C7">
              <w:rPr>
                <w:b/>
                <w:bCs/>
                <w:color w:val="000000"/>
                <w:sz w:val="20"/>
                <w:szCs w:val="20"/>
              </w:rPr>
              <w:t>BIOS d.o.o.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908A0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525.000,00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CC0C2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559.000,00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BBC21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F5CF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106,48</w:t>
            </w:r>
          </w:p>
        </w:tc>
      </w:tr>
      <w:tr w:rsidR="0063701F" w:rsidRPr="00DA05C7" w14:paraId="0E09831E" w14:textId="77777777" w:rsidTr="00AD260D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FFBF7" w14:textId="77777777" w:rsidR="0063701F" w:rsidRPr="00DA05C7" w:rsidRDefault="0063701F" w:rsidP="00AD260D">
            <w:pPr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Subvencije trgovačkim društvima u javnom sektoru-</w:t>
            </w:r>
            <w:r w:rsidRPr="00DA05C7">
              <w:rPr>
                <w:b/>
                <w:bCs/>
                <w:color w:val="000000"/>
                <w:sz w:val="20"/>
                <w:szCs w:val="20"/>
              </w:rPr>
              <w:t>Zavod za stanovanje d.o.o.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216AF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D1D67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139.661,93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DCC7C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-360.338,07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AA99B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27,93</w:t>
            </w:r>
          </w:p>
        </w:tc>
      </w:tr>
      <w:tr w:rsidR="0063701F" w:rsidRPr="00DA05C7" w14:paraId="67B4917F" w14:textId="77777777" w:rsidTr="00AD260D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7C747" w14:textId="77777777" w:rsidR="0063701F" w:rsidRPr="00DA05C7" w:rsidRDefault="0063701F" w:rsidP="00AD260D">
            <w:pPr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 xml:space="preserve">Otplata </w:t>
            </w:r>
            <w:proofErr w:type="spellStart"/>
            <w:r w:rsidRPr="00DA05C7">
              <w:rPr>
                <w:color w:val="000000"/>
                <w:sz w:val="20"/>
                <w:szCs w:val="20"/>
              </w:rPr>
              <w:t>cash</w:t>
            </w:r>
            <w:proofErr w:type="spellEnd"/>
            <w:r w:rsidRPr="00DA05C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5C7">
              <w:rPr>
                <w:color w:val="000000"/>
                <w:sz w:val="20"/>
                <w:szCs w:val="20"/>
              </w:rPr>
              <w:t>poola</w:t>
            </w:r>
            <w:proofErr w:type="spellEnd"/>
            <w:r w:rsidRPr="00DA05C7">
              <w:rPr>
                <w:color w:val="000000"/>
                <w:sz w:val="20"/>
                <w:szCs w:val="20"/>
              </w:rPr>
              <w:t xml:space="preserve"> - </w:t>
            </w:r>
            <w:r w:rsidRPr="00DA05C7">
              <w:rPr>
                <w:b/>
                <w:bCs/>
                <w:color w:val="000000"/>
                <w:sz w:val="20"/>
                <w:szCs w:val="20"/>
              </w:rPr>
              <w:t>Športski objekti d.o.o.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4BD2B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430.472,59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9F44F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1.420.627,58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E64CD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990.154,99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DC7BD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330,02</w:t>
            </w:r>
          </w:p>
        </w:tc>
      </w:tr>
      <w:tr w:rsidR="0063701F" w:rsidRPr="00DA05C7" w14:paraId="68F7AF27" w14:textId="77777777" w:rsidTr="00AD260D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EAE73" w14:textId="77777777" w:rsidR="0063701F" w:rsidRPr="00DA05C7" w:rsidRDefault="0063701F" w:rsidP="00AD260D">
            <w:pPr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Subvencije kamata po poduzetničkim kreditima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7282D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189.414,18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8D1B3E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174.797,06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AEBA6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-14.617,12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EF5C7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92,28</w:t>
            </w:r>
          </w:p>
        </w:tc>
      </w:tr>
      <w:tr w:rsidR="0063701F" w:rsidRPr="00DA05C7" w14:paraId="4DC152F4" w14:textId="77777777" w:rsidTr="00AD260D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75F89" w14:textId="77777777" w:rsidR="0063701F" w:rsidRPr="00DA05C7" w:rsidRDefault="0063701F" w:rsidP="00AD260D">
            <w:pPr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Subvencije trgovačkim društvima u javnom sektoru-</w:t>
            </w:r>
            <w:r w:rsidRPr="00DA05C7">
              <w:rPr>
                <w:b/>
                <w:bCs/>
                <w:color w:val="000000"/>
                <w:sz w:val="20"/>
                <w:szCs w:val="20"/>
              </w:rPr>
              <w:t>Tržnica d.o.o.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E8C19F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58A2BE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817EC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-180.000,00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A801A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701F" w:rsidRPr="00DA05C7" w14:paraId="649E6D77" w14:textId="77777777" w:rsidTr="00AD260D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83336" w14:textId="77777777" w:rsidR="0063701F" w:rsidRPr="00DA05C7" w:rsidRDefault="0063701F" w:rsidP="00AD260D">
            <w:pPr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Potpore u poljoprivredi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1468E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C884E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201.971,82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6068E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101.971,82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656D9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201,97</w:t>
            </w:r>
          </w:p>
        </w:tc>
      </w:tr>
      <w:tr w:rsidR="0063701F" w:rsidRPr="00DA05C7" w14:paraId="6EE733BB" w14:textId="77777777" w:rsidTr="00AD260D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A55A2" w14:textId="77777777" w:rsidR="0063701F" w:rsidRPr="00DA05C7" w:rsidRDefault="0063701F" w:rsidP="00AD260D">
            <w:pPr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Subvencija -</w:t>
            </w:r>
            <w:r w:rsidRPr="00DA05C7">
              <w:rPr>
                <w:b/>
                <w:bCs/>
                <w:color w:val="000000"/>
                <w:sz w:val="20"/>
                <w:szCs w:val="20"/>
              </w:rPr>
              <w:t xml:space="preserve"> Obnovljivi izvori energije d.o.o.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3F4CD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34B37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968A7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-80.000,00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0A92E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701F" w:rsidRPr="00DA05C7" w14:paraId="4A124CA7" w14:textId="77777777" w:rsidTr="00AD260D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88E09" w14:textId="77777777" w:rsidR="0063701F" w:rsidRPr="00DA05C7" w:rsidRDefault="0063701F" w:rsidP="00AD260D">
            <w:pPr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 xml:space="preserve">Sufinanciranje programa </w:t>
            </w:r>
            <w:r w:rsidRPr="00DA05C7">
              <w:rPr>
                <w:b/>
                <w:bCs/>
                <w:color w:val="000000"/>
                <w:sz w:val="20"/>
                <w:szCs w:val="20"/>
              </w:rPr>
              <w:t>Tehnologijsko-razvojnog centra d.o.o.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2DC7E8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5B0AEA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E819C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-70.000,00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F05E7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12,50</w:t>
            </w:r>
          </w:p>
        </w:tc>
      </w:tr>
      <w:tr w:rsidR="0063701F" w:rsidRPr="00DA05C7" w14:paraId="27BACB60" w14:textId="77777777" w:rsidTr="00AD260D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3856D" w14:textId="77777777" w:rsidR="0063701F" w:rsidRPr="00DA05C7" w:rsidRDefault="0063701F" w:rsidP="00AD260D">
            <w:pPr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 xml:space="preserve">Subvencije trgovačkim društvima u javnom sektoru - </w:t>
            </w:r>
            <w:r w:rsidRPr="00DA05C7">
              <w:rPr>
                <w:b/>
                <w:bCs/>
                <w:color w:val="000000"/>
                <w:sz w:val="20"/>
                <w:szCs w:val="20"/>
              </w:rPr>
              <w:t>Športski objekti d.o.o.-</w:t>
            </w:r>
            <w:proofErr w:type="spellStart"/>
            <w:r w:rsidRPr="00DA05C7">
              <w:rPr>
                <w:b/>
                <w:bCs/>
                <w:color w:val="000000"/>
                <w:sz w:val="20"/>
                <w:szCs w:val="20"/>
              </w:rPr>
              <w:t>Copacabana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26981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681EF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38244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-50.000,00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95FBE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701F" w:rsidRPr="00DA05C7" w14:paraId="434D655B" w14:textId="77777777" w:rsidTr="00AD260D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8E310" w14:textId="77777777" w:rsidR="0063701F" w:rsidRPr="00DA05C7" w:rsidRDefault="0063701F" w:rsidP="00AD260D">
            <w:pPr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Pokroviteljstvo manifestacija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BB7B4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37.000,00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33487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30B76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BA7B4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135,14</w:t>
            </w:r>
          </w:p>
        </w:tc>
      </w:tr>
      <w:tr w:rsidR="0063701F" w:rsidRPr="00DA05C7" w14:paraId="2EB218BB" w14:textId="77777777" w:rsidTr="00AD260D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61A0C" w14:textId="77777777" w:rsidR="0063701F" w:rsidRPr="00DA05C7" w:rsidRDefault="0063701F" w:rsidP="00AD260D">
            <w:pPr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Subvencije trgovačkim društvima u javnom sektoru-</w:t>
            </w:r>
            <w:r w:rsidRPr="00DA05C7">
              <w:rPr>
                <w:b/>
                <w:bCs/>
                <w:color w:val="000000"/>
                <w:sz w:val="20"/>
                <w:szCs w:val="20"/>
              </w:rPr>
              <w:t>Športski objekti d.o.o. -fotonaponske ploče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E480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28.096,87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7C76F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29.705,55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ACB5D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1.608,68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860AF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105,73</w:t>
            </w:r>
          </w:p>
        </w:tc>
      </w:tr>
      <w:tr w:rsidR="0063701F" w:rsidRPr="00DA05C7" w14:paraId="15070BB5" w14:textId="77777777" w:rsidTr="00AD260D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B7ADB" w14:textId="77777777" w:rsidR="0063701F" w:rsidRPr="00DA05C7" w:rsidRDefault="0063701F" w:rsidP="00AD260D">
            <w:pPr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lastRenderedPageBreak/>
              <w:t>Subvencije trgovačkim društvima u javnom sektoru-</w:t>
            </w:r>
            <w:r w:rsidRPr="00DA05C7">
              <w:rPr>
                <w:b/>
                <w:bCs/>
                <w:color w:val="000000"/>
                <w:sz w:val="20"/>
                <w:szCs w:val="20"/>
              </w:rPr>
              <w:t>Programska djelatnost u kulturi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4CA86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A3B8A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37.800,00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AFFB3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12.800,00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06107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151,20</w:t>
            </w:r>
          </w:p>
        </w:tc>
      </w:tr>
      <w:tr w:rsidR="0063701F" w:rsidRPr="00DA05C7" w14:paraId="0574324B" w14:textId="77777777" w:rsidTr="00AD260D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8E124" w14:textId="77777777" w:rsidR="0063701F" w:rsidRPr="00DA05C7" w:rsidRDefault="0063701F" w:rsidP="00AD260D">
            <w:pPr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Subvencije trgovačkim društvima izvan javnog sektora - gospodarstvo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2105F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AF4BE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BC38A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9468C" w14:textId="77777777" w:rsidR="0063701F" w:rsidRPr="00DA05C7" w:rsidRDefault="0063701F" w:rsidP="00AD260D">
            <w:pPr>
              <w:jc w:val="right"/>
              <w:rPr>
                <w:color w:val="000000"/>
                <w:sz w:val="20"/>
                <w:szCs w:val="20"/>
              </w:rPr>
            </w:pPr>
            <w:r w:rsidRPr="00DA05C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701F" w:rsidRPr="00DA05C7" w14:paraId="2A9D99E7" w14:textId="77777777" w:rsidTr="00AD260D">
        <w:trPr>
          <w:trHeight w:val="48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BA1B05" w14:textId="77777777" w:rsidR="0063701F" w:rsidRPr="00DA05C7" w:rsidRDefault="0063701F" w:rsidP="00AD26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A05C7">
              <w:rPr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AB7C5C" w14:textId="77777777" w:rsidR="0063701F" w:rsidRPr="00DA05C7" w:rsidRDefault="0063701F" w:rsidP="00AD26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A05C7">
              <w:rPr>
                <w:b/>
                <w:bCs/>
                <w:color w:val="000000"/>
                <w:sz w:val="20"/>
                <w:szCs w:val="20"/>
              </w:rPr>
              <w:t>61.755.960,33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CEC4B1" w14:textId="77777777" w:rsidR="0063701F" w:rsidRPr="00DA05C7" w:rsidRDefault="0063701F" w:rsidP="00AD26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A05C7">
              <w:rPr>
                <w:b/>
                <w:bCs/>
                <w:color w:val="000000"/>
                <w:sz w:val="20"/>
                <w:szCs w:val="20"/>
              </w:rPr>
              <w:t>72.750.220,49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5C8A07" w14:textId="77777777" w:rsidR="0063701F" w:rsidRPr="00DA05C7" w:rsidRDefault="0063701F" w:rsidP="00AD26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A05C7">
              <w:rPr>
                <w:b/>
                <w:bCs/>
                <w:color w:val="000000"/>
                <w:sz w:val="20"/>
                <w:szCs w:val="20"/>
              </w:rPr>
              <w:t>10.994.264,16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427EC36" w14:textId="77777777" w:rsidR="0063701F" w:rsidRPr="00DA05C7" w:rsidRDefault="0063701F" w:rsidP="00AD26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A05C7">
              <w:rPr>
                <w:b/>
                <w:bCs/>
                <w:color w:val="000000"/>
                <w:sz w:val="20"/>
                <w:szCs w:val="20"/>
              </w:rPr>
              <w:t>117,80</w:t>
            </w:r>
          </w:p>
        </w:tc>
      </w:tr>
    </w:tbl>
    <w:p w14:paraId="7B25F4ED" w14:textId="77777777" w:rsidR="0063701F" w:rsidRPr="00E94A3F" w:rsidRDefault="0063701F" w:rsidP="0063701F">
      <w:pPr>
        <w:pStyle w:val="Odlomakpopisa"/>
        <w:numPr>
          <w:ilvl w:val="0"/>
          <w:numId w:val="4"/>
        </w:numPr>
        <w:jc w:val="both"/>
      </w:pPr>
      <w:r w:rsidRPr="00E94A3F">
        <w:t>2021. iskazana u lipama</w:t>
      </w:r>
    </w:p>
    <w:p w14:paraId="7A322945" w14:textId="77777777" w:rsidR="0063701F" w:rsidRPr="00E94A3F" w:rsidRDefault="0063701F" w:rsidP="0063701F">
      <w:pPr>
        <w:pStyle w:val="Odlomakpopisa"/>
      </w:pPr>
    </w:p>
    <w:p w14:paraId="716641F6" w14:textId="77777777" w:rsidR="0063701F" w:rsidRPr="00E94A3F" w:rsidRDefault="0063701F" w:rsidP="0063701F">
      <w:pPr>
        <w:pStyle w:val="Odlomakpopisa"/>
      </w:pPr>
      <w:r w:rsidRPr="00E94A3F">
        <w:t>Kao što je vidljivo povećanje subvencija vezano je gotovo u cijelosti za stabilizaciju poslovanja trgovačkih društava Gradski prijevoz putnika d.o.o. i Športski objekti d.o.o. Osijek.</w:t>
      </w:r>
    </w:p>
    <w:p w14:paraId="0E2E82C7" w14:textId="77777777" w:rsidR="0063701F" w:rsidRDefault="0063701F" w:rsidP="005D1A34">
      <w:pPr>
        <w:jc w:val="both"/>
      </w:pPr>
    </w:p>
    <w:p w14:paraId="2231655C" w14:textId="77777777" w:rsidR="005D1A34" w:rsidRDefault="005D1A34" w:rsidP="005D1A34">
      <w:pPr>
        <w:jc w:val="both"/>
      </w:pPr>
    </w:p>
    <w:p w14:paraId="321C0B1D" w14:textId="3E4B2B0F" w:rsidR="005D1A34" w:rsidRDefault="005D1A34" w:rsidP="005D1A34">
      <w:pPr>
        <w:jc w:val="both"/>
      </w:pPr>
      <w:r w:rsidRPr="0026562D">
        <w:rPr>
          <w:b/>
          <w:bCs/>
        </w:rPr>
        <w:t>3632</w:t>
      </w:r>
      <w:r w:rsidRPr="00E917D7">
        <w:tab/>
      </w:r>
      <w:r>
        <w:t>Veće ostvarenje u odnosu na 2021. vezano je za doznaku ugovornih sredstava Hrvatskim vodama u iznosu 2.550.397,69 kn za sufinanciranje uređenja desne obale Drave (Šetnica) U 2021. iskazani rashodi najvećim dijelom odnose se na prijenos</w:t>
      </w:r>
      <w:r w:rsidRPr="00E917D7">
        <w:t xml:space="preserve"> Fondu za zaštitu okoliša i energetsku učinkovitost u iznosu 1.179.946,88 kn za nabavu spremnika za odvojeno prikupljanje otpada</w:t>
      </w:r>
      <w:r>
        <w:t>.</w:t>
      </w:r>
    </w:p>
    <w:p w14:paraId="64BFB66A" w14:textId="29C5E3CA" w:rsidR="00365982" w:rsidRDefault="00365982" w:rsidP="005D1A34">
      <w:pPr>
        <w:jc w:val="both"/>
      </w:pPr>
    </w:p>
    <w:p w14:paraId="27C089B6" w14:textId="7A4AEED9" w:rsidR="00365982" w:rsidRPr="00E917D7" w:rsidRDefault="00365982" w:rsidP="005D1A34">
      <w:pPr>
        <w:jc w:val="both"/>
      </w:pPr>
      <w:r w:rsidRPr="00365982">
        <w:rPr>
          <w:b/>
          <w:bCs/>
        </w:rPr>
        <w:t>3722</w:t>
      </w:r>
      <w:r>
        <w:tab/>
        <w:t xml:space="preserve">Rast u okviru ovi rashoda </w:t>
      </w:r>
      <w:r w:rsidR="00BF7996">
        <w:t xml:space="preserve">najvećim dijelom </w:t>
      </w:r>
      <w:r>
        <w:t xml:space="preserve">vezan je za namjenske prihode proračunskih korisnika vezano za </w:t>
      </w:r>
      <w:r w:rsidR="009C5E58">
        <w:t xml:space="preserve">nabavu radnih bilježnica i udžbenika financiranih od strane MZO-a u </w:t>
      </w:r>
      <w:r>
        <w:t>osječkim osnovnim školama</w:t>
      </w:r>
      <w:r w:rsidR="00BF7996">
        <w:t>, te nabavu radnih materijala i opreme za učenike iz Ukrajine.</w:t>
      </w:r>
    </w:p>
    <w:p w14:paraId="41C4B337" w14:textId="77777777" w:rsidR="005D1A34" w:rsidRPr="00E917D7" w:rsidRDefault="005D1A34" w:rsidP="005D1A34">
      <w:pPr>
        <w:jc w:val="both"/>
      </w:pPr>
    </w:p>
    <w:p w14:paraId="4BEA8245" w14:textId="535D2F81" w:rsidR="00365982" w:rsidRDefault="00365982" w:rsidP="00456F73">
      <w:pPr>
        <w:jc w:val="both"/>
      </w:pPr>
      <w:r w:rsidRPr="0026562D">
        <w:rPr>
          <w:b/>
          <w:bCs/>
        </w:rPr>
        <w:t>3822</w:t>
      </w:r>
      <w:r w:rsidRPr="00E917D7">
        <w:tab/>
        <w:t>Povećanje u okviru kapitalnih donacija građanima i kućanstvima vezano je za izvršenje rashoda u okviru programa obnove zgrada kulturne baštine u gradu Osijeku.</w:t>
      </w:r>
    </w:p>
    <w:p w14:paraId="38F44D8B" w14:textId="77777777" w:rsidR="00456F73" w:rsidRPr="00E917D7" w:rsidRDefault="00456F73" w:rsidP="00365982">
      <w:pPr>
        <w:ind w:left="705" w:hanging="705"/>
        <w:jc w:val="both"/>
      </w:pPr>
    </w:p>
    <w:p w14:paraId="7E947A56" w14:textId="2E582906" w:rsidR="00365982" w:rsidRDefault="00365982" w:rsidP="00456F73">
      <w:pPr>
        <w:jc w:val="both"/>
      </w:pPr>
      <w:r w:rsidRPr="0026562D">
        <w:rPr>
          <w:b/>
          <w:bCs/>
        </w:rPr>
        <w:t>386</w:t>
      </w:r>
      <w:r w:rsidRPr="00E917D7">
        <w:tab/>
        <w:t xml:space="preserve">Kapitalne pomoći izvršene su u iznosu </w:t>
      </w:r>
      <w:r>
        <w:t>22</w:t>
      </w:r>
      <w:r w:rsidRPr="00E917D7">
        <w:t>.</w:t>
      </w:r>
      <w:r>
        <w:t>346</w:t>
      </w:r>
      <w:r w:rsidRPr="00E917D7">
        <w:t>.</w:t>
      </w:r>
      <w:r>
        <w:t>509,63</w:t>
      </w:r>
      <w:r w:rsidRPr="00E917D7">
        <w:t xml:space="preserve"> kn što je </w:t>
      </w:r>
      <w:r>
        <w:t>86</w:t>
      </w:r>
      <w:r w:rsidRPr="00E917D7">
        <w:t>,</w:t>
      </w:r>
      <w:r>
        <w:t>9</w:t>
      </w:r>
      <w:r w:rsidRPr="00E917D7">
        <w:t>% u odnosu na isto razdoblje prethodne godine. Putem kapitalnih pomoći osigurana su sredstva trgovačkim društvima u većinskom vlasništvu Grada Osijeka za otplatu kredita za kapitalne investicije.</w:t>
      </w:r>
      <w:r>
        <w:t xml:space="preserve"> Tako je Gradskom prijevozu putnika d.o.o. doznačeno 15.976.937,74 kn, a Vodovod-Osijek d.o.o. 607.750,81 kn. Gradskom prijevozu putnika d.o.o. kao projektnom partneru na projektu E-MOBILNOST doznačeno je 3.519.853,81 kn, dok je za opremanje hardverskog laboratorija BIOS d.o.o. doznačeno 515.000,00 kn. Sukladno Programu olakšica i poticaja u poslovnim zonama, trgovačkom društvu izvan javnog sektora priznata je olakšica u iznosi 1.160.000,00 kn.</w:t>
      </w:r>
      <w:r>
        <w:tab/>
      </w:r>
    </w:p>
    <w:p w14:paraId="072A9BCE" w14:textId="77777777" w:rsidR="00456F73" w:rsidRPr="00E917D7" w:rsidRDefault="00456F73" w:rsidP="00456F73">
      <w:pPr>
        <w:jc w:val="both"/>
      </w:pPr>
    </w:p>
    <w:p w14:paraId="60A70152" w14:textId="2E0AEE40" w:rsidR="00456F73" w:rsidRPr="00456F73" w:rsidRDefault="00365982" w:rsidP="00456F73">
      <w:pPr>
        <w:jc w:val="both"/>
        <w:rPr>
          <w:bCs/>
        </w:rPr>
      </w:pPr>
      <w:r w:rsidRPr="00B649DA">
        <w:rPr>
          <w:b/>
          <w:bCs/>
        </w:rPr>
        <w:t>7</w:t>
      </w:r>
      <w:r w:rsidRPr="00B649DA">
        <w:rPr>
          <w:b/>
          <w:bCs/>
        </w:rPr>
        <w:tab/>
      </w:r>
      <w:r w:rsidRPr="00E917D7">
        <w:t xml:space="preserve">Prihodi od prodaje nefinancijske imovine ostvareni su u iznosu </w:t>
      </w:r>
      <w:r w:rsidR="00BF7996">
        <w:t xml:space="preserve">19.243.010,23 kn, od čega se na Grad Osijek odnosi </w:t>
      </w:r>
      <w:r>
        <w:t>18</w:t>
      </w:r>
      <w:r w:rsidRPr="00E917D7">
        <w:t>.</w:t>
      </w:r>
      <w:r>
        <w:t>249</w:t>
      </w:r>
      <w:r w:rsidRPr="00E917D7">
        <w:t>.</w:t>
      </w:r>
      <w:r>
        <w:t>750</w:t>
      </w:r>
      <w:r w:rsidRPr="00E917D7">
        <w:t>,</w:t>
      </w:r>
      <w:r>
        <w:t>30</w:t>
      </w:r>
      <w:r w:rsidRPr="00E917D7">
        <w:t xml:space="preserve"> kn </w:t>
      </w:r>
      <w:r>
        <w:t xml:space="preserve">Vidljivo je smanjenje prihoda od </w:t>
      </w:r>
      <w:r w:rsidRPr="00E917D7">
        <w:t>prodaj</w:t>
      </w:r>
      <w:r>
        <w:t>e</w:t>
      </w:r>
      <w:r w:rsidRPr="00E917D7">
        <w:t xml:space="preserve"> građevinskih zemljišta u iznosu </w:t>
      </w:r>
      <w:r>
        <w:t>8</w:t>
      </w:r>
      <w:r w:rsidRPr="00E917D7">
        <w:t>.</w:t>
      </w:r>
      <w:r>
        <w:t>439</w:t>
      </w:r>
      <w:r w:rsidRPr="00E917D7">
        <w:t>.</w:t>
      </w:r>
      <w:r>
        <w:t>628,83 kn sukladno planu prodaje zemljišta.</w:t>
      </w:r>
      <w:r w:rsidRPr="00E917D7">
        <w:t xml:space="preserve"> </w:t>
      </w:r>
      <w:r>
        <w:t xml:space="preserve">Značajnije povećanje iskazano je u okviru prihoda od prodaje poslovnih objekata kao rezultat izvršene dokapitalizacije društva Športski objekti d.o.o. nekretninama u vlasništvu Grada Osijeka u iznosu 8.620.000,00 kn te zamjene poslovnih poslova s Republikom Hrvatskom procijenjene vrijednosti 1.550.000,00 kn. </w:t>
      </w:r>
      <w:r w:rsidRPr="00E917D7">
        <w:t xml:space="preserve">Kod prihoda s osnova obročne otplate stanova naplaćeni iznos kontinuirano se smanjuje sukladno ugovorenim rokovima otplate temeljem zaključenih ugovora. </w:t>
      </w:r>
      <w:r>
        <w:t>Prihodi iskazani u okviru šifre prihoda 7221/7222 ostvareni su s osnova otkupa računala i mobilnih uređaja od strane djelatnika Grada Osijeka sukladno odredbama pravilnika kojim je isto uređeno.</w:t>
      </w:r>
      <w:r w:rsidR="00456F73" w:rsidRPr="00456F73">
        <w:rPr>
          <w:rFonts w:ascii="Calibri Light" w:hAnsi="Calibri Light" w:cs="Calibri Light"/>
          <w:b/>
        </w:rPr>
        <w:t xml:space="preserve"> </w:t>
      </w:r>
      <w:r w:rsidR="00456F73" w:rsidRPr="00456F73">
        <w:rPr>
          <w:bCs/>
        </w:rPr>
        <w:t>U okviru ovih prihoda najznačajnije povećanje kod korisnika je vezano za prodaj</w:t>
      </w:r>
      <w:r w:rsidR="00456F73">
        <w:rPr>
          <w:bCs/>
        </w:rPr>
        <w:t>u</w:t>
      </w:r>
      <w:r w:rsidR="00456F73" w:rsidRPr="00456F73">
        <w:rPr>
          <w:bCs/>
        </w:rPr>
        <w:t xml:space="preserve"> 3 stana u vlasništvu Dječjeg vrtića Osijek Gradu Osijeku u iznosu od 843.000,00 kn </w:t>
      </w:r>
    </w:p>
    <w:p w14:paraId="21263D50" w14:textId="01EA8CA8" w:rsidR="00365982" w:rsidRPr="00E917D7" w:rsidRDefault="00365982" w:rsidP="00365982">
      <w:pPr>
        <w:ind w:left="705" w:hanging="705"/>
        <w:jc w:val="both"/>
      </w:pPr>
    </w:p>
    <w:p w14:paraId="530AFA81" w14:textId="265F5898" w:rsidR="00365982" w:rsidRDefault="00365982" w:rsidP="00365982">
      <w:pPr>
        <w:ind w:left="705" w:hanging="705"/>
        <w:jc w:val="both"/>
      </w:pPr>
      <w:r w:rsidRPr="0026562D">
        <w:rPr>
          <w:b/>
          <w:bCs/>
        </w:rPr>
        <w:t>4</w:t>
      </w:r>
      <w:r w:rsidRPr="00E917D7">
        <w:tab/>
        <w:t xml:space="preserve">Rashodi za nabavu nefinancijske imovine izvršeni su u iznosu </w:t>
      </w:r>
      <w:r w:rsidR="00456F73">
        <w:t xml:space="preserve">209.577.113,19 kn od čega se na Grad Osijek odnosi </w:t>
      </w:r>
      <w:r>
        <w:t>201</w:t>
      </w:r>
      <w:r w:rsidRPr="00E917D7">
        <w:t>.</w:t>
      </w:r>
      <w:r>
        <w:t>065</w:t>
      </w:r>
      <w:r w:rsidRPr="00E917D7">
        <w:t>.</w:t>
      </w:r>
      <w:r>
        <w:t>599</w:t>
      </w:r>
      <w:r w:rsidRPr="00E917D7">
        <w:t>,</w:t>
      </w:r>
      <w:r>
        <w:t>94</w:t>
      </w:r>
      <w:r w:rsidRPr="00E917D7">
        <w:t xml:space="preserve"> kn.</w:t>
      </w:r>
      <w:r w:rsidR="00456F73">
        <w:t xml:space="preserve"> U odnosu na 2021. to je povećanje od 62.813.431,19 kn.</w:t>
      </w:r>
      <w:r w:rsidRPr="00E917D7">
        <w:t xml:space="preserve"> </w:t>
      </w:r>
    </w:p>
    <w:p w14:paraId="32D67565" w14:textId="77777777" w:rsidR="00456F73" w:rsidRPr="00E917D7" w:rsidRDefault="00456F73" w:rsidP="00365982">
      <w:pPr>
        <w:ind w:left="705" w:hanging="705"/>
        <w:jc w:val="both"/>
      </w:pPr>
    </w:p>
    <w:p w14:paraId="67391BE6" w14:textId="686263AE" w:rsidR="00365982" w:rsidRDefault="00365982" w:rsidP="00365982">
      <w:pPr>
        <w:ind w:left="705" w:hanging="705"/>
        <w:jc w:val="both"/>
        <w:rPr>
          <w:rFonts w:eastAsia="Calibri"/>
        </w:rPr>
      </w:pPr>
      <w:r w:rsidRPr="0026562D">
        <w:rPr>
          <w:b/>
          <w:bCs/>
        </w:rPr>
        <w:t>41</w:t>
      </w:r>
      <w:r w:rsidRPr="00E917D7">
        <w:tab/>
        <w:t xml:space="preserve">Rashodi za nabavu zemljišta izvršeni su u iznosu </w:t>
      </w:r>
      <w:r>
        <w:t>6.5</w:t>
      </w:r>
      <w:r w:rsidR="00456F73">
        <w:t>35</w:t>
      </w:r>
      <w:r>
        <w:t>.</w:t>
      </w:r>
      <w:r w:rsidR="00456F73">
        <w:t>504</w:t>
      </w:r>
      <w:r>
        <w:t>,</w:t>
      </w:r>
      <w:r w:rsidR="00456F73">
        <w:t>19</w:t>
      </w:r>
      <w:r>
        <w:t xml:space="preserve"> kn i </w:t>
      </w:r>
      <w:r w:rsidRPr="00E917D7">
        <w:t xml:space="preserve">vezani su za kupovinu zemljišta </w:t>
      </w:r>
      <w:r w:rsidRPr="00E917D7">
        <w:rPr>
          <w:rFonts w:eastAsia="Calibri"/>
          <w:iCs/>
        </w:rPr>
        <w:t xml:space="preserve">Pampas I. </w:t>
      </w:r>
      <w:r>
        <w:rPr>
          <w:rFonts w:eastAsia="Calibri"/>
          <w:iCs/>
        </w:rPr>
        <w:t xml:space="preserve">u iznosu </w:t>
      </w:r>
      <w:r w:rsidRPr="00E917D7">
        <w:t xml:space="preserve">3.451.750,00 kn </w:t>
      </w:r>
      <w:r w:rsidRPr="00E917D7">
        <w:rPr>
          <w:rFonts w:eastAsia="Calibri"/>
          <w:iCs/>
        </w:rPr>
        <w:t>od</w:t>
      </w:r>
      <w:r>
        <w:rPr>
          <w:rFonts w:eastAsia="Calibri"/>
        </w:rPr>
        <w:t xml:space="preserve"> tvrtke Osijek-Koteks d.d., zemljišta u svrhu uređenja </w:t>
      </w:r>
      <w:proofErr w:type="spellStart"/>
      <w:r>
        <w:rPr>
          <w:rFonts w:eastAsia="Calibri"/>
        </w:rPr>
        <w:t>bajera</w:t>
      </w:r>
      <w:proofErr w:type="spellEnd"/>
      <w:r>
        <w:rPr>
          <w:rFonts w:eastAsia="Calibri"/>
        </w:rPr>
        <w:t xml:space="preserve"> Jug II u iznosu 457.000,00 kn od Poljoprivrednog instituta Osijek i  privatnih osoba u iznosu 724.000,00 kn.</w:t>
      </w:r>
      <w:r w:rsidR="00456F73">
        <w:rPr>
          <w:rFonts w:eastAsia="Calibri"/>
        </w:rPr>
        <w:t xml:space="preserve"> </w:t>
      </w:r>
    </w:p>
    <w:p w14:paraId="2196E8B3" w14:textId="77777777" w:rsidR="00456F73" w:rsidRPr="00E917D7" w:rsidRDefault="00456F73" w:rsidP="00365982">
      <w:pPr>
        <w:ind w:left="705" w:hanging="705"/>
        <w:jc w:val="both"/>
        <w:rPr>
          <w:rFonts w:eastAsia="Calibri"/>
        </w:rPr>
      </w:pPr>
    </w:p>
    <w:p w14:paraId="14F03C1F" w14:textId="77777777" w:rsidR="00365982" w:rsidRDefault="00365982" w:rsidP="00365982">
      <w:pPr>
        <w:ind w:left="705" w:hanging="705"/>
        <w:jc w:val="both"/>
      </w:pPr>
      <w:r w:rsidRPr="0026562D">
        <w:rPr>
          <w:rFonts w:eastAsia="Calibri"/>
          <w:b/>
          <w:bCs/>
        </w:rPr>
        <w:t>42</w:t>
      </w:r>
      <w:r w:rsidRPr="00E917D7">
        <w:rPr>
          <w:rFonts w:eastAsia="Calibri"/>
        </w:rPr>
        <w:tab/>
      </w:r>
      <w:r>
        <w:t>Najznačajniji je rast rashoda za nabavu proizvedene dugotrajne imovine (građevinski objekti) kao rezultat odvijanja velikih kapitalnih projekata kao što su:</w:t>
      </w:r>
    </w:p>
    <w:p w14:paraId="5F3F2483" w14:textId="77777777" w:rsidR="00365982" w:rsidRDefault="00365982" w:rsidP="00365982">
      <w:pPr>
        <w:ind w:left="705" w:hanging="2"/>
        <w:jc w:val="both"/>
      </w:pPr>
      <w:r>
        <w:t>Razvoj i unapređenje osječke Tvrđe                                      </w:t>
      </w:r>
      <w:r>
        <w:tab/>
        <w:t>  51.381.723,58 kn</w:t>
      </w:r>
    </w:p>
    <w:p w14:paraId="146898B9" w14:textId="77777777" w:rsidR="00365982" w:rsidRDefault="00365982" w:rsidP="00365982">
      <w:pPr>
        <w:ind w:left="703"/>
        <w:jc w:val="both"/>
      </w:pPr>
      <w:r>
        <w:t>Izgradnja podvožnjaka u ulici Sv. L.B. Mandića                    </w:t>
      </w:r>
      <w:r>
        <w:tab/>
        <w:t xml:space="preserve">  33.713.723,03 kn</w:t>
      </w:r>
    </w:p>
    <w:p w14:paraId="0BB7B09A" w14:textId="77777777" w:rsidR="00365982" w:rsidRDefault="00365982" w:rsidP="00365982">
      <w:pPr>
        <w:ind w:left="703"/>
        <w:jc w:val="both"/>
      </w:pPr>
      <w:r>
        <w:t>Centar za posjetitelje Tvrđa                                                      </w:t>
      </w:r>
      <w:r>
        <w:tab/>
        <w:t xml:space="preserve">  11.944.627,48 kn</w:t>
      </w:r>
    </w:p>
    <w:p w14:paraId="20FEAAAF" w14:textId="77777777" w:rsidR="00365982" w:rsidRDefault="00365982" w:rsidP="00365982">
      <w:pPr>
        <w:ind w:left="703"/>
        <w:jc w:val="both"/>
      </w:pPr>
      <w:r>
        <w:t>Odlagalište Sarvaš                                                                  </w:t>
      </w:r>
      <w:r>
        <w:tab/>
        <w:t>  23.887.391,31 kn</w:t>
      </w:r>
    </w:p>
    <w:p w14:paraId="64E6D1E4" w14:textId="3569D061" w:rsidR="00365982" w:rsidRDefault="00365982" w:rsidP="00365982">
      <w:pPr>
        <w:ind w:left="703"/>
        <w:jc w:val="both"/>
      </w:pPr>
      <w:r>
        <w:t xml:space="preserve">Izgradnja stanova </w:t>
      </w:r>
      <w:r>
        <w:tab/>
      </w:r>
      <w:r>
        <w:tab/>
        <w:t>                                                       </w:t>
      </w:r>
      <w:r>
        <w:tab/>
        <w:t xml:space="preserve">  11.846.744,93 kn</w:t>
      </w:r>
    </w:p>
    <w:p w14:paraId="376BD94E" w14:textId="79FA2E0D" w:rsidR="00456F73" w:rsidRDefault="00456F73" w:rsidP="00365982">
      <w:pPr>
        <w:ind w:left="703"/>
        <w:jc w:val="both"/>
      </w:pPr>
      <w:r>
        <w:t xml:space="preserve">Rashodi proračunskih korisnika izvršeni su u iznosu 7.562.985,07 kn i najvećim dijelom vezani su za nabavu namještaja i opreme. </w:t>
      </w:r>
      <w:r w:rsidR="004A41E2">
        <w:t>Ovdje možemo izdvojiti ulaganja PKC Mađara u uređenje dječjeg vrtića u sklopu centra. U 2022. isti su izvršili rashode u iznosu 2.538.868,60 kn. Povećanje u okviru ovi rashoda također je vezano za nabavu namještaja, opreme i udžbenika u školama.</w:t>
      </w:r>
    </w:p>
    <w:p w14:paraId="060EFB43" w14:textId="77777777" w:rsidR="00365982" w:rsidRDefault="00365982" w:rsidP="00365982">
      <w:pPr>
        <w:ind w:left="703"/>
        <w:jc w:val="both"/>
      </w:pPr>
      <w:r>
        <w:rPr>
          <w:color w:val="FF0000"/>
        </w:rPr>
        <w:t> </w:t>
      </w:r>
    </w:p>
    <w:p w14:paraId="07C9EE3E" w14:textId="47E5194D" w:rsidR="00365982" w:rsidRDefault="00365982" w:rsidP="00365982">
      <w:pPr>
        <w:ind w:left="703" w:hanging="703"/>
        <w:jc w:val="both"/>
      </w:pPr>
      <w:r w:rsidRPr="0026562D">
        <w:rPr>
          <w:b/>
          <w:bCs/>
        </w:rPr>
        <w:t>45</w:t>
      </w:r>
      <w:r w:rsidRPr="00E917D7">
        <w:tab/>
      </w:r>
      <w:r>
        <w:t xml:space="preserve">Povećanje je vidljivo i u okviru šifre 45 gdje su rashodi za dodatna ulaganja na nefinancijskoj imovini izvršeni u iznosu </w:t>
      </w:r>
      <w:r w:rsidR="004A41E2">
        <w:t xml:space="preserve">37.832.136,81 kn, od čega se na Grad Osijek odnosi iznos </w:t>
      </w:r>
      <w:r>
        <w:t>37.492.820,38 kn</w:t>
      </w:r>
      <w:r w:rsidR="004A41E2">
        <w:t>. U</w:t>
      </w:r>
      <w:r>
        <w:t xml:space="preserve"> odnosu na prethodnu godinu</w:t>
      </w:r>
      <w:r w:rsidR="004A41E2">
        <w:t xml:space="preserve"> povećanje iznosi 20.777.961,81 kn</w:t>
      </w:r>
      <w:r>
        <w:t>. U okviru ovih rashoda iskazana su ulaganja u sljedeću imovinu Grada:</w:t>
      </w:r>
    </w:p>
    <w:p w14:paraId="68C57D23" w14:textId="77777777" w:rsidR="00365982" w:rsidRDefault="00365982" w:rsidP="00365982">
      <w:pPr>
        <w:jc w:val="both"/>
      </w:pPr>
      <w:r>
        <w:t xml:space="preserve">            Rekonstrukcija </w:t>
      </w:r>
      <w:proofErr w:type="spellStart"/>
      <w:r>
        <w:t>Copacabane</w:t>
      </w:r>
      <w:proofErr w:type="spellEnd"/>
      <w:r>
        <w:t xml:space="preserve">   </w:t>
      </w:r>
      <w:r>
        <w:tab/>
        <w:t>                                         </w:t>
      </w:r>
      <w:r>
        <w:tab/>
        <w:t> 27.397.123,28 kn</w:t>
      </w:r>
    </w:p>
    <w:p w14:paraId="7B5EA5E4" w14:textId="77777777" w:rsidR="00365982" w:rsidRDefault="00365982" w:rsidP="00365982">
      <w:pPr>
        <w:ind w:firstLine="705"/>
        <w:jc w:val="both"/>
      </w:pPr>
      <w:r>
        <w:t>Energetska obnova OŠ Franje Krežme i DV Radost                 </w:t>
      </w:r>
      <w:r>
        <w:tab/>
        <w:t xml:space="preserve">   6.628.600,64 kn</w:t>
      </w:r>
    </w:p>
    <w:p w14:paraId="790F1788" w14:textId="77777777" w:rsidR="00365982" w:rsidRDefault="00365982" w:rsidP="00365982">
      <w:pPr>
        <w:ind w:firstLine="705"/>
        <w:jc w:val="both"/>
      </w:pPr>
      <w:r>
        <w:t>Rekonstrukcija nerazvrstanih cesta                                            </w:t>
      </w:r>
      <w:r>
        <w:tab/>
        <w:t xml:space="preserve">   1.667.577,88 kn</w:t>
      </w:r>
    </w:p>
    <w:p w14:paraId="5306B869" w14:textId="77777777" w:rsidR="00365982" w:rsidRDefault="00365982" w:rsidP="00365982">
      <w:pPr>
        <w:ind w:firstLine="705"/>
        <w:jc w:val="both"/>
      </w:pPr>
      <w:r>
        <w:t>i dr.</w:t>
      </w:r>
    </w:p>
    <w:p w14:paraId="43DD85A9" w14:textId="77777777" w:rsidR="00365982" w:rsidRDefault="00365982" w:rsidP="00365982">
      <w:pPr>
        <w:ind w:firstLine="705"/>
        <w:jc w:val="both"/>
      </w:pPr>
    </w:p>
    <w:p w14:paraId="245D855B" w14:textId="77777777" w:rsidR="00365982" w:rsidRPr="00E917D7" w:rsidRDefault="00365982" w:rsidP="00365982">
      <w:pPr>
        <w:ind w:left="705" w:hanging="705"/>
        <w:jc w:val="both"/>
      </w:pPr>
      <w:r w:rsidRPr="0026562D">
        <w:rPr>
          <w:b/>
          <w:bCs/>
        </w:rPr>
        <w:t>8341</w:t>
      </w:r>
      <w:r>
        <w:tab/>
        <w:t>Grad Osijek u 2022. prodao je svoj udio u tvrtki Zavod za urbanizam i izgradnju d.d. Osijek po cijeni od 144.000,00 kn (nominalna vrijednost). Također je prodan udio u tvrtki Optima Telekom po cijeni od 11.604,40 kn tijekom postupka preuzimanja tvrtke od druge pravne osobe.</w:t>
      </w:r>
    </w:p>
    <w:p w14:paraId="32D1A92F" w14:textId="77777777" w:rsidR="00365982" w:rsidRPr="00E917D7" w:rsidRDefault="00365982" w:rsidP="00365982">
      <w:pPr>
        <w:ind w:left="703"/>
        <w:jc w:val="both"/>
      </w:pPr>
    </w:p>
    <w:p w14:paraId="30544199" w14:textId="77777777" w:rsidR="00365982" w:rsidRDefault="00365982" w:rsidP="00365982">
      <w:pPr>
        <w:ind w:left="705" w:hanging="705"/>
        <w:jc w:val="both"/>
      </w:pPr>
      <w:r w:rsidRPr="0026562D">
        <w:rPr>
          <w:b/>
          <w:bCs/>
        </w:rPr>
        <w:t>8443</w:t>
      </w:r>
      <w:r w:rsidRPr="00E917D7">
        <w:tab/>
        <w:t>U odnosu na prethodnu godinu ostvarenje je znatno veće uslijed refinanciranja kreditnih obveza ugovorenog s Privrednom bankom Zagreb d.d. Istim je izvršena otplata preostale glavnice temeljem sedam zaključenih ugovora o kreditu u ukupnom iznosu 107.443.828,67 kn. Nadalje, izvršeno je povlačenje kreditnih sredstava (kreditno zaduživanje 2020. i 2021.) temeljem ispostavljenih računa/situacija od strane dobavljača, odnosno dinamike odvijanja kapitalnih projekata.</w:t>
      </w:r>
    </w:p>
    <w:p w14:paraId="2B655609" w14:textId="77777777" w:rsidR="00365982" w:rsidRPr="00E917D7" w:rsidRDefault="00365982" w:rsidP="00365982">
      <w:pPr>
        <w:ind w:left="705" w:hanging="705"/>
        <w:jc w:val="both"/>
      </w:pPr>
    </w:p>
    <w:p w14:paraId="69A26DBC" w14:textId="3D298CCB" w:rsidR="00365982" w:rsidRDefault="00365982" w:rsidP="00365982">
      <w:pPr>
        <w:ind w:left="705" w:hanging="705"/>
        <w:jc w:val="both"/>
      </w:pPr>
      <w:r w:rsidRPr="0026562D">
        <w:rPr>
          <w:b/>
          <w:bCs/>
        </w:rPr>
        <w:t>5321</w:t>
      </w:r>
      <w:r w:rsidRPr="00E917D7">
        <w:tab/>
        <w:t xml:space="preserve">Grad Osijek je u 2022. izvršio otkup poslovnog udjela u društvu Vodovod-Osijek d.o.o. od Općine Semeljci, jedne od pravnih sljednika bivše Općine Osijek, u iznosu 213.499,94 kn. </w:t>
      </w:r>
      <w:r>
        <w:t xml:space="preserve">Također je izvršio dokapitalizaciju trgovačkog društva Športski objekti d.o.o. Osijek </w:t>
      </w:r>
      <w:r>
        <w:lastRenderedPageBreak/>
        <w:t>nekretninama u vrijednosti 8.620,000,00 kn i novcem 380.000,00 kn, ukupno 9.000.000,00 kn. Dokapitalizacija je napravljana kako bi se izvršilo pokriće gubitka iznad visine temeljnog kapitala, najvećim dijelom rezultat uređenja imovinsko-pravnih poslova i prijenosa ulaganja u sportske objekte u bilancu Grada Osijeka.</w:t>
      </w:r>
    </w:p>
    <w:p w14:paraId="7E0B24CE" w14:textId="77777777" w:rsidR="00A2314E" w:rsidRPr="00E917D7" w:rsidRDefault="00A2314E" w:rsidP="00365982">
      <w:pPr>
        <w:ind w:left="705" w:hanging="705"/>
        <w:jc w:val="both"/>
      </w:pPr>
    </w:p>
    <w:p w14:paraId="1758B6AB" w14:textId="0DC5973F" w:rsidR="00365982" w:rsidRDefault="00365982" w:rsidP="00365982">
      <w:pPr>
        <w:ind w:left="705" w:hanging="705"/>
        <w:jc w:val="both"/>
      </w:pPr>
      <w:r w:rsidRPr="0026562D">
        <w:rPr>
          <w:b/>
          <w:bCs/>
        </w:rPr>
        <w:t>5443</w:t>
      </w:r>
      <w:r w:rsidRPr="00E917D7">
        <w:tab/>
        <w:t>Otplate glavnice veće su sukladno obrazloženju navedenom uz šifru 8443. Otplate su uredno izvršavane u ugovorenim rokovima.</w:t>
      </w:r>
      <w:r>
        <w:t xml:space="preserve"> Otplate po dugoročnim kreditima izvršene su u iznosu 126.623.900,56 kn a povrat beskamatnog zajma Ministarstvu financija 100.738,95 kn.</w:t>
      </w:r>
    </w:p>
    <w:p w14:paraId="7047FC5D" w14:textId="14A969A2" w:rsidR="004A41E2" w:rsidRDefault="004A41E2" w:rsidP="00365982">
      <w:pPr>
        <w:ind w:left="705" w:hanging="705"/>
        <w:jc w:val="both"/>
      </w:pPr>
    </w:p>
    <w:p w14:paraId="42462A6B" w14:textId="4F2986FB" w:rsidR="004A41E2" w:rsidRDefault="004A41E2" w:rsidP="00365982">
      <w:pPr>
        <w:ind w:left="705" w:hanging="705"/>
        <w:jc w:val="both"/>
      </w:pPr>
      <w:r w:rsidRPr="005843FD">
        <w:rPr>
          <w:b/>
          <w:bCs/>
        </w:rPr>
        <w:t>5453</w:t>
      </w:r>
      <w:r>
        <w:tab/>
        <w:t xml:space="preserve">Izvršene otplate vezane su za financijski leasing za nabavu kombi vozila za OŠ Višnjevac u iznosu </w:t>
      </w:r>
      <w:r w:rsidR="005843FD">
        <w:t>35.327,37 kn.</w:t>
      </w:r>
    </w:p>
    <w:p w14:paraId="072C3D3A" w14:textId="77777777" w:rsidR="005843FD" w:rsidRPr="00E917D7" w:rsidRDefault="005843FD" w:rsidP="00365982">
      <w:pPr>
        <w:ind w:left="705" w:hanging="705"/>
        <w:jc w:val="both"/>
      </w:pPr>
    </w:p>
    <w:p w14:paraId="41646AC7" w14:textId="63D87AA5" w:rsidR="00365982" w:rsidRPr="00E917D7" w:rsidRDefault="00365982" w:rsidP="00365982">
      <w:pPr>
        <w:ind w:left="705" w:hanging="705"/>
        <w:jc w:val="both"/>
      </w:pPr>
      <w:r w:rsidRPr="0057445F">
        <w:rPr>
          <w:b/>
          <w:bCs/>
        </w:rPr>
        <w:t>X005</w:t>
      </w:r>
      <w:r w:rsidRPr="00E917D7">
        <w:tab/>
        <w:t xml:space="preserve">Višak prihoda i primitaka ostvaren je u iznosu </w:t>
      </w:r>
      <w:r w:rsidR="005843FD">
        <w:t xml:space="preserve">44.409.949,96 kn od čega je višak Grada Osijeka </w:t>
      </w:r>
      <w:r w:rsidRPr="00E917D7">
        <w:t>4</w:t>
      </w:r>
      <w:r>
        <w:t>2</w:t>
      </w:r>
      <w:r w:rsidRPr="00E917D7">
        <w:t>.</w:t>
      </w:r>
      <w:r>
        <w:t>453</w:t>
      </w:r>
      <w:r w:rsidRPr="00E917D7">
        <w:t>.</w:t>
      </w:r>
      <w:r>
        <w:t>784</w:t>
      </w:r>
      <w:r w:rsidRPr="00E917D7">
        <w:t>,</w:t>
      </w:r>
      <w:r>
        <w:t>97</w:t>
      </w:r>
      <w:r w:rsidRPr="00E917D7">
        <w:t xml:space="preserve"> kn. S viškom prenesenim iz prethodne godine, </w:t>
      </w:r>
      <w:r w:rsidR="005843FD">
        <w:t xml:space="preserve">ukupni konsolidirani višak </w:t>
      </w:r>
      <w:r w:rsidRPr="00E917D7">
        <w:t>Grad</w:t>
      </w:r>
      <w:r w:rsidR="005843FD">
        <w:t>a</w:t>
      </w:r>
      <w:r w:rsidRPr="00E917D7">
        <w:t xml:space="preserve"> Osijek</w:t>
      </w:r>
      <w:r w:rsidR="005843FD">
        <w:t>a iznosi 83.976.165,04 kn</w:t>
      </w:r>
      <w:r w:rsidRPr="00E917D7">
        <w:t xml:space="preserve">. Ovakvo ostvarenje viška </w:t>
      </w:r>
      <w:r w:rsidR="005843FD">
        <w:t xml:space="preserve">vezano je za poslovanje Grada Osijeka i to </w:t>
      </w:r>
      <w:r w:rsidRPr="00E917D7">
        <w:t xml:space="preserve">dijelom za značajno veće ostvarenje prihoda od poreza na dohodak u odnosu na plan, a dijelom na ostvarena sredstva dugoročnih kredita, predujmova pomoći i  namjenskih prihoda koja će se utrošiti u narednom razdoblju. </w:t>
      </w:r>
    </w:p>
    <w:p w14:paraId="44613806" w14:textId="77777777" w:rsidR="00365982" w:rsidRDefault="00365982" w:rsidP="00365982">
      <w:pPr>
        <w:jc w:val="center"/>
        <w:rPr>
          <w:b/>
          <w:bCs/>
        </w:rPr>
      </w:pPr>
    </w:p>
    <w:p w14:paraId="60AF0EF3" w14:textId="77777777" w:rsidR="00365982" w:rsidRDefault="00365982" w:rsidP="00365982">
      <w:pPr>
        <w:jc w:val="center"/>
        <w:rPr>
          <w:b/>
          <w:bCs/>
        </w:rPr>
      </w:pPr>
    </w:p>
    <w:p w14:paraId="158F7285" w14:textId="77777777" w:rsidR="00832CB1" w:rsidRPr="00D97366" w:rsidRDefault="00832CB1" w:rsidP="00832CB1">
      <w:pPr>
        <w:ind w:firstLine="851"/>
        <w:jc w:val="center"/>
        <w:rPr>
          <w:b/>
        </w:rPr>
      </w:pPr>
      <w:r w:rsidRPr="00D97366">
        <w:rPr>
          <w:b/>
        </w:rPr>
        <w:t>BILJEŠKE UZ BILANCU</w:t>
      </w:r>
    </w:p>
    <w:p w14:paraId="3B291023" w14:textId="77777777" w:rsidR="00832CB1" w:rsidRPr="00D97366" w:rsidRDefault="00832CB1" w:rsidP="00832CB1">
      <w:pPr>
        <w:jc w:val="center"/>
        <w:rPr>
          <w:b/>
          <w:bCs/>
          <w:iCs/>
          <w:highlight w:val="yellow"/>
        </w:rPr>
      </w:pPr>
    </w:p>
    <w:p w14:paraId="315CF4EB" w14:textId="77777777" w:rsidR="00832CB1" w:rsidRPr="00C92E9A" w:rsidRDefault="00832CB1" w:rsidP="00832CB1">
      <w:pPr>
        <w:ind w:left="708"/>
        <w:jc w:val="both"/>
        <w:rPr>
          <w:color w:val="FF0000"/>
          <w:highlight w:val="yellow"/>
        </w:rPr>
      </w:pPr>
    </w:p>
    <w:p w14:paraId="562CABEB" w14:textId="1410E61F" w:rsidR="00832CB1" w:rsidRPr="005843FD" w:rsidRDefault="00832CB1" w:rsidP="00832CB1">
      <w:pPr>
        <w:ind w:firstLine="708"/>
        <w:jc w:val="both"/>
      </w:pPr>
      <w:r w:rsidRPr="005843FD">
        <w:t>Iz Konsolidirane Bilance Grada Osijeka na dan 31. prosinca 202</w:t>
      </w:r>
      <w:r w:rsidR="005843FD" w:rsidRPr="005843FD">
        <w:t>2</w:t>
      </w:r>
      <w:r w:rsidRPr="005843FD">
        <w:t>. vidljivo je povećanje imovine u odnosu na stanje 1. siječnja 202</w:t>
      </w:r>
      <w:r w:rsidR="005843FD" w:rsidRPr="005843FD">
        <w:t>2</w:t>
      </w:r>
      <w:r w:rsidRPr="005843FD">
        <w:t xml:space="preserve">. za </w:t>
      </w:r>
      <w:r w:rsidR="005843FD" w:rsidRPr="005843FD">
        <w:t>149</w:t>
      </w:r>
      <w:r w:rsidRPr="005843FD">
        <w:t>.</w:t>
      </w:r>
      <w:r w:rsidR="005843FD" w:rsidRPr="005843FD">
        <w:t>441</w:t>
      </w:r>
      <w:r w:rsidRPr="005843FD">
        <w:t>.</w:t>
      </w:r>
      <w:r w:rsidR="005843FD" w:rsidRPr="005843FD">
        <w:t>940,67</w:t>
      </w:r>
      <w:r w:rsidRPr="005843FD">
        <w:t xml:space="preserve"> kn ili </w:t>
      </w:r>
      <w:r w:rsidR="005843FD" w:rsidRPr="005843FD">
        <w:t>4</w:t>
      </w:r>
      <w:r w:rsidRPr="005843FD">
        <w:t>,</w:t>
      </w:r>
      <w:r w:rsidR="00EB55ED" w:rsidRPr="005843FD">
        <w:t>5</w:t>
      </w:r>
      <w:r w:rsidRPr="005843FD">
        <w:t>% te ona iznosi 3.</w:t>
      </w:r>
      <w:r w:rsidR="005843FD" w:rsidRPr="005843FD">
        <w:t>504</w:t>
      </w:r>
      <w:r w:rsidRPr="005843FD">
        <w:t>.</w:t>
      </w:r>
      <w:r w:rsidR="005843FD" w:rsidRPr="005843FD">
        <w:t>985</w:t>
      </w:r>
      <w:r w:rsidRPr="005843FD">
        <w:t>.</w:t>
      </w:r>
      <w:r w:rsidR="005843FD" w:rsidRPr="005843FD">
        <w:t>812,67</w:t>
      </w:r>
      <w:r w:rsidRPr="005843FD">
        <w:t xml:space="preserve"> kn.</w:t>
      </w:r>
    </w:p>
    <w:p w14:paraId="0ACC3A54" w14:textId="06EEAF43" w:rsidR="00832CB1" w:rsidRPr="005843FD" w:rsidRDefault="00832CB1" w:rsidP="00832CB1">
      <w:pPr>
        <w:ind w:firstLine="708"/>
        <w:jc w:val="both"/>
      </w:pPr>
      <w:r w:rsidRPr="005843FD">
        <w:t xml:space="preserve">Na Grad Osijek odnosi se povećanje od </w:t>
      </w:r>
      <w:r w:rsidR="005843FD" w:rsidRPr="005843FD">
        <w:t>160</w:t>
      </w:r>
      <w:r w:rsidR="00805CB4" w:rsidRPr="005843FD">
        <w:t>.</w:t>
      </w:r>
      <w:r w:rsidR="005843FD" w:rsidRPr="005843FD">
        <w:t>161</w:t>
      </w:r>
      <w:r w:rsidR="00805CB4" w:rsidRPr="005843FD">
        <w:t>.</w:t>
      </w:r>
      <w:r w:rsidR="005843FD" w:rsidRPr="005843FD">
        <w:t>720,06</w:t>
      </w:r>
      <w:r w:rsidR="00805CB4" w:rsidRPr="005843FD">
        <w:t xml:space="preserve"> kn </w:t>
      </w:r>
      <w:r w:rsidR="00C2726C" w:rsidRPr="005843FD">
        <w:t>dok je kod proračunskih kor</w:t>
      </w:r>
      <w:r w:rsidR="003D2B7A" w:rsidRPr="005843FD">
        <w:t>i</w:t>
      </w:r>
      <w:r w:rsidR="00C2726C" w:rsidRPr="005843FD">
        <w:t xml:space="preserve">snika iskazano smanjenje od </w:t>
      </w:r>
      <w:r w:rsidR="005843FD" w:rsidRPr="005843FD">
        <w:t>10</w:t>
      </w:r>
      <w:r w:rsidRPr="005843FD">
        <w:t>.</w:t>
      </w:r>
      <w:r w:rsidR="005843FD" w:rsidRPr="005843FD">
        <w:t>719</w:t>
      </w:r>
      <w:r w:rsidRPr="005843FD">
        <w:t>.</w:t>
      </w:r>
      <w:r w:rsidR="005843FD" w:rsidRPr="005843FD">
        <w:t>779,39</w:t>
      </w:r>
      <w:r w:rsidRPr="005843FD">
        <w:t xml:space="preserve"> kn.</w:t>
      </w:r>
    </w:p>
    <w:p w14:paraId="74428920" w14:textId="77777777" w:rsidR="002E00E2" w:rsidRPr="005843FD" w:rsidRDefault="002E00E2" w:rsidP="002E00E2">
      <w:pPr>
        <w:ind w:firstLine="708"/>
        <w:jc w:val="both"/>
        <w:rPr>
          <w:b/>
          <w:u w:val="single"/>
        </w:rPr>
      </w:pPr>
    </w:p>
    <w:p w14:paraId="30057DE2" w14:textId="764FEE9F" w:rsidR="002E00E2" w:rsidRPr="00E917D7" w:rsidRDefault="00D91085" w:rsidP="002E00E2">
      <w:pPr>
        <w:ind w:firstLine="851"/>
        <w:jc w:val="both"/>
      </w:pPr>
      <w:r w:rsidRPr="00E917D7">
        <w:t xml:space="preserve">Iz </w:t>
      </w:r>
      <w:r>
        <w:t>konsolidirane</w:t>
      </w:r>
      <w:r w:rsidR="002E00E2" w:rsidRPr="00E917D7">
        <w:t xml:space="preserve"> Bilance Grada Osijeka na dan 31.12.202</w:t>
      </w:r>
      <w:r w:rsidR="002E00E2">
        <w:t>2</w:t>
      </w:r>
      <w:r w:rsidR="002E00E2" w:rsidRPr="00E917D7">
        <w:t>. razvidno je povećanje</w:t>
      </w:r>
      <w:r w:rsidR="002E00E2" w:rsidRPr="00E917D7">
        <w:rPr>
          <w:color w:val="FF0000"/>
        </w:rPr>
        <w:t xml:space="preserve">  </w:t>
      </w:r>
      <w:r w:rsidR="002E00E2" w:rsidRPr="00E917D7">
        <w:t xml:space="preserve">nefinancijske imovine Grada u svoti od  </w:t>
      </w:r>
      <w:r w:rsidR="002E00E2">
        <w:t>148</w:t>
      </w:r>
      <w:r w:rsidR="002E00E2" w:rsidRPr="00E917D7">
        <w:t>.</w:t>
      </w:r>
      <w:r w:rsidR="002E00E2">
        <w:t>381</w:t>
      </w:r>
      <w:r w:rsidR="002E00E2" w:rsidRPr="00E917D7">
        <w:t>.</w:t>
      </w:r>
      <w:r w:rsidR="002E00E2">
        <w:t>439,39</w:t>
      </w:r>
      <w:r w:rsidR="002E00E2" w:rsidRPr="00E917D7">
        <w:t xml:space="preserve"> kn </w:t>
      </w:r>
      <w:r w:rsidR="00615AE2">
        <w:t>odnosi</w:t>
      </w:r>
      <w:r>
        <w:t xml:space="preserve"> se</w:t>
      </w:r>
      <w:r w:rsidR="002E00E2" w:rsidRPr="00E917D7">
        <w:t xml:space="preserve"> na </w:t>
      </w:r>
      <w:r>
        <w:t>Grad Osijek, dok je imovina proračunskih korisnika manja za 1.746.194,44 kn</w:t>
      </w:r>
      <w:r w:rsidR="002E00E2" w:rsidRPr="00E917D7">
        <w:t xml:space="preserve">. </w:t>
      </w:r>
    </w:p>
    <w:p w14:paraId="6DA6BDD5" w14:textId="779CEEBC" w:rsidR="002E00E2" w:rsidRDefault="002E00E2" w:rsidP="002E00E2">
      <w:pPr>
        <w:ind w:firstLine="851"/>
        <w:jc w:val="both"/>
      </w:pPr>
      <w:r w:rsidRPr="00E917D7">
        <w:t xml:space="preserve">Promjene iskazane na AOP-ima nefinancijske imovine obrasca Bilanca rezultat su, uz  financijske transakcije Grada, odnosno izgradnju, kupovinu i prodaju nefinancijske imovine, promjena uslijed unosa vrijednosti imovine koja do sada nije imala iskazanu knjigovodstvenu vrijednost, ispravaka stanja imovine temeljem naknadno utvrđenih promjena i dr., što je i iskazano u obrascu P-VRIO. Najznačajnije povećanje nefinancijske imovine  vezano je uz kapitalne rashode Grada Osijeka koji su izvršeni u iznosu </w:t>
      </w:r>
      <w:r>
        <w:t>201</w:t>
      </w:r>
      <w:r w:rsidRPr="00E917D7">
        <w:t>.</w:t>
      </w:r>
      <w:r>
        <w:t>065</w:t>
      </w:r>
      <w:r w:rsidRPr="00E917D7">
        <w:t>.</w:t>
      </w:r>
      <w:r>
        <w:t>599</w:t>
      </w:r>
      <w:r w:rsidRPr="00E917D7">
        <w:t xml:space="preserve"> </w:t>
      </w:r>
      <w:r>
        <w:t>94 kn</w:t>
      </w:r>
      <w:r w:rsidRPr="00E917D7">
        <w:t>.</w:t>
      </w:r>
    </w:p>
    <w:p w14:paraId="5A7F8739" w14:textId="77777777" w:rsidR="0063701F" w:rsidRPr="00E917D7" w:rsidRDefault="0063701F" w:rsidP="002E00E2">
      <w:pPr>
        <w:ind w:firstLine="851"/>
        <w:jc w:val="both"/>
      </w:pPr>
    </w:p>
    <w:p w14:paraId="30CD9974" w14:textId="0E0C87D7" w:rsidR="002E00E2" w:rsidRDefault="002E00E2" w:rsidP="002E00E2">
      <w:pPr>
        <w:jc w:val="both"/>
        <w:rPr>
          <w:rFonts w:eastAsia="Calibri"/>
        </w:rPr>
      </w:pPr>
      <w:r w:rsidRPr="00EE1BE5">
        <w:rPr>
          <w:b/>
          <w:bCs/>
        </w:rPr>
        <w:t xml:space="preserve">011  </w:t>
      </w:r>
      <w:r>
        <w:tab/>
      </w:r>
      <w:r w:rsidRPr="00E917D7">
        <w:t xml:space="preserve"> U okviru </w:t>
      </w:r>
      <w:r>
        <w:t>ove šifre</w:t>
      </w:r>
      <w:r w:rsidRPr="00E917D7">
        <w:t xml:space="preserve"> bilančne promjene su vezane za prodaju građevinskog zemljišta</w:t>
      </w:r>
      <w:r>
        <w:t xml:space="preserve"> u iznosu 5.098.496,16 kn i prijenos zemljišta OŠ Jagoda </w:t>
      </w:r>
      <w:proofErr w:type="spellStart"/>
      <w:r>
        <w:t>Truhelka</w:t>
      </w:r>
      <w:proofErr w:type="spellEnd"/>
      <w:r>
        <w:t xml:space="preserve"> procijenjene vrijednosti 359.000,00 kn. Kao što je vidljivo iz obrasca P-VRIO uskladio se iznos vrijednosti predmetnih zemljišta do visine kupoprodajne cijene. </w:t>
      </w:r>
      <w:r w:rsidRPr="00E917D7">
        <w:t xml:space="preserve"> Financijski najznačajnija transakcij</w:t>
      </w:r>
      <w:r>
        <w:t>e vezane su za kupovinu zemljišta na Pampasu u iznosu 3.451.750,00 kn</w:t>
      </w:r>
      <w:r>
        <w:rPr>
          <w:rFonts w:eastAsia="Calibri"/>
        </w:rPr>
        <w:t xml:space="preserve">, zemljišta u svrhu uređenja </w:t>
      </w:r>
      <w:proofErr w:type="spellStart"/>
      <w:r>
        <w:rPr>
          <w:rFonts w:eastAsia="Calibri"/>
        </w:rPr>
        <w:t>bajera</w:t>
      </w:r>
      <w:proofErr w:type="spellEnd"/>
      <w:r>
        <w:rPr>
          <w:rFonts w:eastAsia="Calibri"/>
        </w:rPr>
        <w:t xml:space="preserve"> Jug II u iznosu 457.000,00 kn od Poljoprivrednog instituta Osijek i  privatnih osoba u iznosu 724.000,00 kn, s ciljem </w:t>
      </w:r>
      <w:r>
        <w:rPr>
          <w:rFonts w:eastAsia="Calibri"/>
        </w:rPr>
        <w:lastRenderedPageBreak/>
        <w:t xml:space="preserve">proglašenja </w:t>
      </w:r>
      <w:proofErr w:type="spellStart"/>
      <w:r>
        <w:rPr>
          <w:rFonts w:eastAsia="Calibri"/>
        </w:rPr>
        <w:t>bajera</w:t>
      </w:r>
      <w:proofErr w:type="spellEnd"/>
      <w:r>
        <w:rPr>
          <w:rFonts w:eastAsia="Calibri"/>
        </w:rPr>
        <w:t xml:space="preserve"> Jug II komunalnom infrastrukturom te održavanja kao javne površina namijenjene za sport i rekreaciju. </w:t>
      </w:r>
    </w:p>
    <w:p w14:paraId="11C3E93F" w14:textId="77777777" w:rsidR="00DA67B6" w:rsidRPr="00E917D7" w:rsidRDefault="00DA67B6" w:rsidP="002E00E2">
      <w:pPr>
        <w:jc w:val="both"/>
        <w:rPr>
          <w:rFonts w:eastAsia="Calibri"/>
        </w:rPr>
      </w:pPr>
    </w:p>
    <w:p w14:paraId="31FC19C2" w14:textId="77777777" w:rsidR="002E00E2" w:rsidRDefault="002E00E2" w:rsidP="002E00E2">
      <w:pPr>
        <w:jc w:val="both"/>
      </w:pPr>
      <w:r w:rsidRPr="00EE1BE5">
        <w:rPr>
          <w:b/>
          <w:bCs/>
        </w:rPr>
        <w:t>012</w:t>
      </w:r>
      <w:r>
        <w:tab/>
        <w:t>Promjene u okviru ove imovine rezultat su izvršenih rashoda u 2022. za nabavu projektne dokumentacije za ulaganje u objekte Grada (energetska obnova dječjih vrtića, nerazvrstanih cesta i dr.).</w:t>
      </w:r>
    </w:p>
    <w:p w14:paraId="2F74E7B1" w14:textId="77777777" w:rsidR="0063701F" w:rsidRPr="00E917D7" w:rsidRDefault="0063701F" w:rsidP="002E00E2">
      <w:pPr>
        <w:jc w:val="both"/>
      </w:pPr>
    </w:p>
    <w:p w14:paraId="32E93E54" w14:textId="7EE3C82E" w:rsidR="002E00E2" w:rsidRDefault="002E00E2" w:rsidP="002E00E2">
      <w:pPr>
        <w:jc w:val="both"/>
      </w:pPr>
      <w:r w:rsidRPr="00EE1BE5">
        <w:rPr>
          <w:b/>
          <w:bCs/>
        </w:rPr>
        <w:t>0211</w:t>
      </w:r>
      <w:r w:rsidRPr="00E917D7">
        <w:t xml:space="preserve"> </w:t>
      </w:r>
      <w:r>
        <w:tab/>
      </w:r>
      <w:r w:rsidRPr="00E917D7">
        <w:t xml:space="preserve">Povećanje u okviru Stambenih objekata rezultat je </w:t>
      </w:r>
      <w:r>
        <w:t>kupovine stanova u vlasništvu ustanova i tvrtki u većinskom vlasništvu Grada Osijeka u iznosu od 2.092.000,00 kn, kao i usklađenje vrijednosti do kupoprodajne cijene stanova što je vidljivo iz obrasca PR-RAS.</w:t>
      </w:r>
    </w:p>
    <w:p w14:paraId="03838F17" w14:textId="77777777" w:rsidR="0063701F" w:rsidRPr="00E917D7" w:rsidRDefault="0063701F" w:rsidP="002E00E2">
      <w:pPr>
        <w:jc w:val="both"/>
      </w:pPr>
    </w:p>
    <w:p w14:paraId="3908EBDE" w14:textId="546D6E42" w:rsidR="002E00E2" w:rsidRPr="00E917D7" w:rsidRDefault="002E00E2" w:rsidP="002E00E2">
      <w:pPr>
        <w:jc w:val="both"/>
      </w:pPr>
      <w:r w:rsidRPr="00E917D7">
        <w:t xml:space="preserve"> </w:t>
      </w:r>
      <w:r>
        <w:rPr>
          <w:b/>
        </w:rPr>
        <w:t>0212</w:t>
      </w:r>
      <w:r>
        <w:rPr>
          <w:b/>
        </w:rPr>
        <w:tab/>
      </w:r>
      <w:r w:rsidRPr="00E917D7">
        <w:t xml:space="preserve"> Poslovni objekti veći su za </w:t>
      </w:r>
      <w:r w:rsidRPr="00780984">
        <w:t>62</w:t>
      </w:r>
      <w:r w:rsidR="003B4B5C" w:rsidRPr="00780984">
        <w:t>.736.305,80</w:t>
      </w:r>
      <w:r>
        <w:t xml:space="preserve"> kn </w:t>
      </w:r>
      <w:r w:rsidRPr="00E917D7">
        <w:t>i</w:t>
      </w:r>
      <w:r>
        <w:t>li 5</w:t>
      </w:r>
      <w:r w:rsidRPr="00E917D7">
        <w:t>%. Ovo povećanje najvećim dijelom vezano je za završetak sljedećih kapitalnih projekata koji su sa investicija u pripremi preneseni na odgovarajući račun ekonomske klasifikacije :</w:t>
      </w:r>
    </w:p>
    <w:p w14:paraId="264D64D7" w14:textId="77777777" w:rsidR="002E00E2" w:rsidRPr="00E917D7" w:rsidRDefault="002E00E2" w:rsidP="002E00E2">
      <w:pPr>
        <w:jc w:val="both"/>
      </w:pPr>
      <w:r w:rsidRPr="00E917D7">
        <w:t xml:space="preserve">OŠ </w:t>
      </w:r>
      <w:r>
        <w:t>Franje Krežme</w:t>
      </w:r>
      <w:r w:rsidRPr="00E917D7">
        <w:tab/>
      </w:r>
      <w:r w:rsidRPr="00E917D7">
        <w:tab/>
      </w:r>
      <w:r w:rsidRPr="00E917D7">
        <w:tab/>
      </w:r>
      <w:r w:rsidRPr="00E917D7">
        <w:tab/>
      </w:r>
      <w:r w:rsidRPr="00E917D7">
        <w:tab/>
      </w:r>
      <w:r w:rsidRPr="00E917D7">
        <w:tab/>
      </w:r>
      <w:r w:rsidRPr="00E917D7">
        <w:tab/>
      </w:r>
      <w:r w:rsidRPr="00E917D7">
        <w:tab/>
        <w:t xml:space="preserve">         </w:t>
      </w:r>
      <w:r>
        <w:t xml:space="preserve">  </w:t>
      </w:r>
      <w:r w:rsidRPr="00E917D7">
        <w:t xml:space="preserve"> </w:t>
      </w:r>
      <w:r>
        <w:t>8</w:t>
      </w:r>
      <w:r w:rsidRPr="00E917D7">
        <w:t>.</w:t>
      </w:r>
      <w:r>
        <w:t>564</w:t>
      </w:r>
      <w:r w:rsidRPr="00E917D7">
        <w:t>.</w:t>
      </w:r>
      <w:r>
        <w:t>551,95</w:t>
      </w:r>
      <w:r w:rsidRPr="00E917D7">
        <w:t xml:space="preserve"> kn</w:t>
      </w:r>
    </w:p>
    <w:p w14:paraId="022240A2" w14:textId="77777777" w:rsidR="002E00E2" w:rsidRDefault="002E00E2" w:rsidP="002E00E2">
      <w:pPr>
        <w:jc w:val="both"/>
      </w:pPr>
      <w:r>
        <w:t>Dječji vrtić Radost</w:t>
      </w:r>
      <w:r w:rsidRPr="00E917D7">
        <w:tab/>
      </w:r>
      <w:r w:rsidRPr="00E917D7">
        <w:tab/>
      </w:r>
      <w:r w:rsidRPr="00E917D7">
        <w:tab/>
      </w:r>
      <w:r w:rsidRPr="00E917D7">
        <w:tab/>
      </w:r>
      <w:r w:rsidRPr="00E917D7">
        <w:tab/>
      </w:r>
      <w:r w:rsidRPr="00E917D7">
        <w:tab/>
      </w:r>
      <w:r w:rsidRPr="00E917D7">
        <w:tab/>
      </w:r>
      <w:r>
        <w:t xml:space="preserve">                        1</w:t>
      </w:r>
      <w:r w:rsidRPr="00E917D7">
        <w:t>.</w:t>
      </w:r>
      <w:r>
        <w:t>464</w:t>
      </w:r>
      <w:r w:rsidRPr="00E917D7">
        <w:t>.</w:t>
      </w:r>
      <w:r>
        <w:t>887,68</w:t>
      </w:r>
      <w:r w:rsidRPr="00E917D7">
        <w:t xml:space="preserve"> kn</w:t>
      </w:r>
    </w:p>
    <w:p w14:paraId="771646FD" w14:textId="77777777" w:rsidR="002E00E2" w:rsidRPr="00E917D7" w:rsidRDefault="002E00E2" w:rsidP="002E00E2">
      <w:pPr>
        <w:jc w:val="both"/>
      </w:pPr>
      <w:r>
        <w:t>Poslovni prostor u sklopu Centra za posjetitelje Tvrđa</w:t>
      </w:r>
      <w:r>
        <w:tab/>
      </w:r>
      <w:r>
        <w:tab/>
      </w:r>
      <w:r>
        <w:tab/>
      </w:r>
      <w:r>
        <w:tab/>
        <w:t>8.063.484,49 kn</w:t>
      </w:r>
    </w:p>
    <w:p w14:paraId="2CAE4456" w14:textId="77777777" w:rsidR="002E00E2" w:rsidRPr="00E917D7" w:rsidRDefault="002E00E2" w:rsidP="002E00E2">
      <w:pPr>
        <w:jc w:val="both"/>
      </w:pPr>
      <w:r>
        <w:t>Također je u 2022. izvršena nabava suvlasničkog udjela u odmaralištu na Omišlju u iznosu od 1.000.000,00 kn i kupovina prostora VK Iktus u iznosu 5.500.000,00 kn, kupovinu kojeg je Grad financirao zajedno s Osječko baranjskom županijom. Izvršena je zamjena nekretnina s RH temeljem koje su stečeni poslovni prostori vrijednosti 1.823.000,00 kn.</w:t>
      </w:r>
    </w:p>
    <w:p w14:paraId="34805B5A" w14:textId="77777777" w:rsidR="002E00E2" w:rsidRDefault="002E00E2" w:rsidP="002E00E2">
      <w:pPr>
        <w:jc w:val="both"/>
      </w:pPr>
      <w:r>
        <w:t>Najznačajnija promjena vezana je za prijenos imovine od društva Športski objekti d.o.o. u iznosu 37.386.491,71 kn (sportske dvorane i rekreacijski objekti).</w:t>
      </w:r>
      <w:r w:rsidRPr="00170B6E">
        <w:t xml:space="preserve"> </w:t>
      </w:r>
      <w:r>
        <w:t>Riječ je o ulaganjima Grada putem kapitalnih pomoći iz ranijih godina koja su bila evidentirana u poslovnim knjigama društva.</w:t>
      </w:r>
    </w:p>
    <w:p w14:paraId="28E3FE36" w14:textId="77777777" w:rsidR="002E00E2" w:rsidRDefault="002E00E2" w:rsidP="002E00E2">
      <w:pPr>
        <w:jc w:val="both"/>
        <w:rPr>
          <w:b/>
          <w:bCs/>
        </w:rPr>
      </w:pPr>
    </w:p>
    <w:p w14:paraId="4D9C1AD5" w14:textId="77777777" w:rsidR="002E00E2" w:rsidRDefault="002E00E2" w:rsidP="002E00E2">
      <w:pPr>
        <w:jc w:val="both"/>
      </w:pPr>
      <w:r w:rsidRPr="000A3F48">
        <w:rPr>
          <w:b/>
          <w:bCs/>
        </w:rPr>
        <w:t>0213</w:t>
      </w:r>
      <w:r>
        <w:rPr>
          <w:b/>
          <w:bCs/>
        </w:rPr>
        <w:tab/>
      </w:r>
      <w:r w:rsidRPr="000A3F48">
        <w:rPr>
          <w:b/>
          <w:bCs/>
        </w:rPr>
        <w:t xml:space="preserve"> </w:t>
      </w:r>
      <w:r w:rsidRPr="00E917D7">
        <w:t xml:space="preserve">Ceste, željeznice i ostali prometni objekti veći su za prijenos s investicije u tijeku </w:t>
      </w:r>
      <w:r>
        <w:t xml:space="preserve">na </w:t>
      </w:r>
      <w:r w:rsidRPr="00E917D7">
        <w:t>završen</w:t>
      </w:r>
      <w:r>
        <w:t>e</w:t>
      </w:r>
      <w:r w:rsidRPr="00E917D7">
        <w:t xml:space="preserve"> investicij</w:t>
      </w:r>
      <w:r>
        <w:t>e ulaganja iz prethodnih godina</w:t>
      </w:r>
      <w:r w:rsidRPr="00E917D7">
        <w:t>. Financijski najznačajnije stavk</w:t>
      </w:r>
      <w:r>
        <w:t>e odnose se na uređenje površina u Krapinskom naselju u iznosu 3.167.220,17 kn i ceste u Podravskoj ulici u iznosu 1.062.394,57 kn.</w:t>
      </w:r>
    </w:p>
    <w:p w14:paraId="78BE4693" w14:textId="77777777" w:rsidR="002E00E2" w:rsidRPr="00E917D7" w:rsidRDefault="002E00E2" w:rsidP="002E00E2">
      <w:pPr>
        <w:jc w:val="both"/>
      </w:pPr>
    </w:p>
    <w:p w14:paraId="36A67681" w14:textId="648A92C5" w:rsidR="002E00E2" w:rsidRDefault="002E00E2" w:rsidP="002E00E2">
      <w:pPr>
        <w:jc w:val="both"/>
      </w:pPr>
      <w:r w:rsidRPr="002633F4">
        <w:rPr>
          <w:b/>
          <w:bCs/>
        </w:rPr>
        <w:t>0214</w:t>
      </w:r>
      <w:r>
        <w:rPr>
          <w:b/>
          <w:bCs/>
        </w:rPr>
        <w:tab/>
      </w:r>
      <w:r w:rsidRPr="002633F4">
        <w:rPr>
          <w:b/>
          <w:bCs/>
        </w:rPr>
        <w:t xml:space="preserve"> </w:t>
      </w:r>
      <w:r>
        <w:t>Ostali građevinski objekti veći su za 77.640.915,</w:t>
      </w:r>
      <w:r w:rsidR="00D91085">
        <w:t>33</w:t>
      </w:r>
      <w:r>
        <w:t xml:space="preserve"> kn ili 18,</w:t>
      </w:r>
      <w:r w:rsidR="00D91085">
        <w:t>4</w:t>
      </w:r>
      <w:r>
        <w:t>%.</w:t>
      </w:r>
      <w:r w:rsidRPr="00E917D7">
        <w:t xml:space="preserve"> Najznačajnije povećanje v</w:t>
      </w:r>
      <w:r>
        <w:t xml:space="preserve">ezano je za prijenos završenih radova na Odlagalištu otpada Sarvaš u iznosu 50.237.710,07 kn, te uknjiženje sportskih objekata po procjeni i to Sportski centar </w:t>
      </w:r>
      <w:proofErr w:type="spellStart"/>
      <w:r>
        <w:t>Mačkamama</w:t>
      </w:r>
      <w:proofErr w:type="spellEnd"/>
      <w:r>
        <w:t xml:space="preserve"> 13.190.000,00 kn i Omladinski park Elektra 4.520.000,00 kn</w:t>
      </w:r>
      <w:r w:rsidRPr="00E917D7">
        <w:t>.</w:t>
      </w:r>
      <w:r>
        <w:t xml:space="preserve"> Također je izvršen prijenos imovine bez naknade od strane tvrtke Športski objekti d.o.o. u iznosu 5.914.293,80 kn, vezano za  ulaganja Grada putem kapitalnih pomoći iz ranijih godina koja su bila evidentirana u poslovnim knjigama društva. Izvršeno je evidentiranje i ulaganja u groblja izvršena u razdoblju 2008.-2010. u iznosu 2.386.960,84 kn, koja je Grad također financirao putem kapitalnih pomoći. Ovime je izvršen nalog Državnog ureda za reviziju vezano za imovinsko-pravno uređenje ulaganja u sportske objekte i objekte komunalne infrastrukture. </w:t>
      </w:r>
      <w:r w:rsidRPr="00E917D7">
        <w:t>Preostala ulaganja izvršena su u javnu rasvjetu, gradska groblja i dr.</w:t>
      </w:r>
    </w:p>
    <w:p w14:paraId="332D7D30" w14:textId="77777777" w:rsidR="00A94D40" w:rsidRPr="00E917D7" w:rsidRDefault="00A94D40" w:rsidP="002E00E2">
      <w:pPr>
        <w:jc w:val="both"/>
      </w:pPr>
    </w:p>
    <w:p w14:paraId="144F2922" w14:textId="73286A4F" w:rsidR="002E00E2" w:rsidRDefault="002E00E2" w:rsidP="002E00E2">
      <w:pPr>
        <w:ind w:firstLine="16"/>
        <w:jc w:val="both"/>
      </w:pPr>
      <w:r w:rsidRPr="00F54F1C">
        <w:rPr>
          <w:b/>
          <w:bCs/>
        </w:rPr>
        <w:t>029</w:t>
      </w:r>
      <w:r w:rsidRPr="00E917D7">
        <w:t xml:space="preserve"> </w:t>
      </w:r>
      <w:r>
        <w:tab/>
      </w:r>
      <w:r w:rsidRPr="00E917D7">
        <w:t>Smanjenje vrijednosti građevinskih objekata proizlazi iz obračunatog ispravka vrijednosti za 202</w:t>
      </w:r>
      <w:r>
        <w:t>2</w:t>
      </w:r>
      <w:r w:rsidRPr="00E917D7">
        <w:t>. i ranije opisanih promjena.</w:t>
      </w:r>
    </w:p>
    <w:p w14:paraId="70834AAA" w14:textId="77777777" w:rsidR="00A94D40" w:rsidRPr="00E917D7" w:rsidRDefault="00A94D40" w:rsidP="002E00E2">
      <w:pPr>
        <w:ind w:firstLine="16"/>
        <w:jc w:val="both"/>
      </w:pPr>
    </w:p>
    <w:p w14:paraId="134217E0" w14:textId="02CEA877" w:rsidR="002E00E2" w:rsidRDefault="002E00E2" w:rsidP="002E00E2">
      <w:pPr>
        <w:ind w:firstLine="16"/>
        <w:jc w:val="both"/>
      </w:pPr>
      <w:r w:rsidRPr="00984B28">
        <w:rPr>
          <w:b/>
          <w:bCs/>
        </w:rPr>
        <w:t xml:space="preserve">022 </w:t>
      </w:r>
      <w:r>
        <w:rPr>
          <w:b/>
          <w:bCs/>
        </w:rPr>
        <w:t>i 02922</w:t>
      </w:r>
      <w:r>
        <w:tab/>
      </w:r>
      <w:r w:rsidRPr="00E917D7">
        <w:t xml:space="preserve"> </w:t>
      </w:r>
      <w:r>
        <w:t xml:space="preserve">Povećanje </w:t>
      </w:r>
      <w:r w:rsidRPr="00E917D7">
        <w:t>u okviru ov</w:t>
      </w:r>
      <w:r>
        <w:t xml:space="preserve">e šifre najvećim dijelom proizišlo je iz nabave opreme za kupalište </w:t>
      </w:r>
      <w:proofErr w:type="spellStart"/>
      <w:r>
        <w:t>Copacabana</w:t>
      </w:r>
      <w:proofErr w:type="spellEnd"/>
      <w:r>
        <w:t xml:space="preserve"> koje je nakon izvršene prve faze ulaganja u cjelovitu rekonstrukciju počelo </w:t>
      </w:r>
      <w:r>
        <w:lastRenderedPageBreak/>
        <w:t xml:space="preserve">s radom u srpnju 2022., nabavu opreme u okviru projekta </w:t>
      </w:r>
      <w:proofErr w:type="spellStart"/>
      <w:r>
        <w:t>Smartriver</w:t>
      </w:r>
      <w:proofErr w:type="spellEnd"/>
      <w:r>
        <w:t xml:space="preserve">  te računalne i uredske opreme za potreba Gradske uprave. Izvršen je ispravak vrijednosti sukladno zakonskim propisima.</w:t>
      </w:r>
    </w:p>
    <w:p w14:paraId="4D219520" w14:textId="77777777" w:rsidR="0019561E" w:rsidRPr="00E917D7" w:rsidRDefault="0019561E" w:rsidP="002E00E2">
      <w:pPr>
        <w:ind w:firstLine="16"/>
        <w:jc w:val="both"/>
      </w:pPr>
    </w:p>
    <w:p w14:paraId="5433835A" w14:textId="1C62D9CD" w:rsidR="002E00E2" w:rsidRDefault="002E00E2" w:rsidP="002E00E2">
      <w:pPr>
        <w:ind w:firstLine="16"/>
        <w:jc w:val="both"/>
      </w:pPr>
      <w:r w:rsidRPr="00293D8A">
        <w:rPr>
          <w:b/>
          <w:bCs/>
        </w:rPr>
        <w:t>023</w:t>
      </w:r>
      <w:r>
        <w:tab/>
        <w:t xml:space="preserve">U 2022. nabavljena su 3 vozila od tvrtki u većinskom vlasništvu Grada Osijeka za 194.000,00 kn. Smanjenje je vezano za donaciju bicikla Triatlon klubu u vrijednosti 24.211,49 kn. </w:t>
      </w:r>
    </w:p>
    <w:p w14:paraId="174A4A8B" w14:textId="77777777" w:rsidR="0019561E" w:rsidRPr="00E917D7" w:rsidRDefault="0019561E" w:rsidP="002E00E2">
      <w:pPr>
        <w:ind w:firstLine="16"/>
        <w:jc w:val="both"/>
      </w:pPr>
    </w:p>
    <w:p w14:paraId="3ED024BC" w14:textId="462A1330" w:rsidR="002E00E2" w:rsidRPr="00E917D7" w:rsidRDefault="002E00E2" w:rsidP="002E00E2">
      <w:pPr>
        <w:ind w:firstLine="16"/>
        <w:jc w:val="both"/>
      </w:pPr>
      <w:r w:rsidRPr="00E917D7">
        <w:rPr>
          <w:b/>
        </w:rPr>
        <w:t>05</w:t>
      </w:r>
      <w:r>
        <w:rPr>
          <w:b/>
        </w:rPr>
        <w:tab/>
      </w:r>
      <w:r w:rsidRPr="00E917D7">
        <w:t xml:space="preserve"> Dugotrajna nefinancijska imovina u pripremi veća je za </w:t>
      </w:r>
      <w:r>
        <w:t>100</w:t>
      </w:r>
      <w:r w:rsidRPr="00E917D7">
        <w:t>.</w:t>
      </w:r>
      <w:r>
        <w:t>632</w:t>
      </w:r>
      <w:r w:rsidRPr="00E917D7">
        <w:t>.</w:t>
      </w:r>
      <w:r w:rsidR="00D91085">
        <w:t>176,93</w:t>
      </w:r>
      <w:r w:rsidRPr="00E917D7">
        <w:t xml:space="preserve"> kn ili </w:t>
      </w:r>
      <w:r>
        <w:t>69</w:t>
      </w:r>
      <w:r w:rsidRPr="00E917D7">
        <w:t>,</w:t>
      </w:r>
      <w:r>
        <w:t>4</w:t>
      </w:r>
      <w:r w:rsidRPr="00E917D7">
        <w:t>%.</w:t>
      </w:r>
    </w:p>
    <w:p w14:paraId="521E0ADA" w14:textId="77777777" w:rsidR="002E00E2" w:rsidRPr="00E917D7" w:rsidRDefault="002E00E2" w:rsidP="002E00E2">
      <w:pPr>
        <w:ind w:firstLine="16"/>
        <w:jc w:val="both"/>
      </w:pPr>
      <w:r>
        <w:t xml:space="preserve">Ovako povećanje rezultat je investicija u tijeku od kojih je značajan dio financiran bespovratnim sredstvima iz europskih fondova. Najznačajnije od njih su projekti Razvoj i unapređenje osječke Tvrđe vrijedan oko 130 milijuna kn (s 31.12. 98.572.928,39 kn), Izgradnja podvožnjaka u ulici sv. L. B. Mandića, rekonstrukcija kupališta </w:t>
      </w:r>
      <w:proofErr w:type="spellStart"/>
      <w:r>
        <w:t>Copacabana</w:t>
      </w:r>
      <w:proofErr w:type="spellEnd"/>
      <w:r>
        <w:t>, izgradnja IT parka i dr. U 2022. izvršen je prijenos završenih investicija što je razvidno iz obrazloženja uz pojedine kategorije dugotrajne imovine.</w:t>
      </w:r>
    </w:p>
    <w:p w14:paraId="65931CC4" w14:textId="77777777" w:rsidR="002E00E2" w:rsidRPr="00E917D7" w:rsidRDefault="002E00E2" w:rsidP="002E00E2">
      <w:pPr>
        <w:ind w:firstLine="16"/>
        <w:jc w:val="both"/>
      </w:pPr>
      <w:r w:rsidRPr="00E917D7">
        <w:t>U okviru Stambenih objekata u pripremi iskazani su rashodi za izgradnju stambene zgrade za socijalne skupine građana u Tenji za koju su radovi započeli u 2021.</w:t>
      </w:r>
    </w:p>
    <w:p w14:paraId="1D201B00" w14:textId="77777777" w:rsidR="002E00E2" w:rsidRDefault="002E00E2" w:rsidP="002E00E2">
      <w:pPr>
        <w:ind w:firstLine="16"/>
        <w:jc w:val="both"/>
        <w:rPr>
          <w:b/>
          <w:highlight w:val="yellow"/>
          <w:u w:val="single"/>
        </w:rPr>
      </w:pPr>
    </w:p>
    <w:p w14:paraId="73B88A7E" w14:textId="77777777" w:rsidR="002E00E2" w:rsidRPr="00E917D7" w:rsidRDefault="002E00E2" w:rsidP="002E00E2">
      <w:pPr>
        <w:ind w:firstLine="16"/>
        <w:jc w:val="both"/>
        <w:rPr>
          <w:b/>
          <w:highlight w:val="yellow"/>
          <w:u w:val="single"/>
        </w:rPr>
      </w:pPr>
    </w:p>
    <w:p w14:paraId="09A5FD29" w14:textId="73823C66" w:rsidR="002E00E2" w:rsidRDefault="002E00E2" w:rsidP="002E00E2">
      <w:pPr>
        <w:ind w:firstLine="16"/>
        <w:jc w:val="both"/>
        <w:rPr>
          <w:b/>
          <w:u w:val="single"/>
        </w:rPr>
      </w:pPr>
      <w:r w:rsidRPr="00E917D7">
        <w:rPr>
          <w:b/>
          <w:u w:val="single"/>
        </w:rPr>
        <w:t>Financijska imovina</w:t>
      </w:r>
    </w:p>
    <w:p w14:paraId="665411F5" w14:textId="77777777" w:rsidR="00615AE2" w:rsidRPr="00E917D7" w:rsidRDefault="00615AE2" w:rsidP="002E00E2">
      <w:pPr>
        <w:ind w:firstLine="16"/>
        <w:jc w:val="both"/>
        <w:rPr>
          <w:b/>
          <w:u w:val="single"/>
        </w:rPr>
      </w:pPr>
    </w:p>
    <w:p w14:paraId="209B9A1D" w14:textId="4B32359C" w:rsidR="002E00E2" w:rsidRPr="00E917D7" w:rsidRDefault="002E00E2" w:rsidP="002E00E2">
      <w:pPr>
        <w:jc w:val="both"/>
      </w:pPr>
      <w:r w:rsidRPr="00AE43C9">
        <w:rPr>
          <w:b/>
          <w:bCs/>
        </w:rPr>
        <w:t>1</w:t>
      </w:r>
      <w:r>
        <w:tab/>
      </w:r>
      <w:r w:rsidRPr="00E917D7">
        <w:t xml:space="preserve"> Financijska imovine na dan 31.12.202</w:t>
      </w:r>
      <w:r>
        <w:t>2</w:t>
      </w:r>
      <w:r w:rsidRPr="00E917D7">
        <w:t xml:space="preserve">. veća je u odnosu na 01.01. </w:t>
      </w:r>
      <w:r w:rsidR="00D91085" w:rsidRPr="00E917D7">
        <w:t>za</w:t>
      </w:r>
      <w:r w:rsidR="00D91085">
        <w:t xml:space="preserve"> 2.806.695,72</w:t>
      </w:r>
      <w:r w:rsidRPr="00E917D7">
        <w:t xml:space="preserve"> kn ili </w:t>
      </w:r>
      <w:r w:rsidR="00D91085">
        <w:t>0,4%.</w:t>
      </w:r>
      <w:r w:rsidRPr="00E917D7">
        <w:t xml:space="preserve"> što je rezultat, uz financijske transakcije iskazane na proračunskim pozicijama, sljedećih promjena: </w:t>
      </w:r>
    </w:p>
    <w:p w14:paraId="5D8A9538" w14:textId="6A13FCED" w:rsidR="002E00E2" w:rsidRPr="00E917D7" w:rsidRDefault="002E00E2" w:rsidP="002E00E2">
      <w:pPr>
        <w:jc w:val="both"/>
      </w:pPr>
      <w:r w:rsidRPr="007F56CB">
        <w:rPr>
          <w:b/>
          <w:bCs/>
        </w:rPr>
        <w:t>11</w:t>
      </w:r>
      <w:r>
        <w:tab/>
      </w:r>
      <w:r w:rsidRPr="00E917D7">
        <w:t xml:space="preserve">Novčana sredstva u banci veća su za </w:t>
      </w:r>
      <w:r w:rsidR="00D91085">
        <w:t>46.968.001,89</w:t>
      </w:r>
      <w:r w:rsidRPr="00E917D7">
        <w:t xml:space="preserve"> kn ili </w:t>
      </w:r>
      <w:r w:rsidR="00D91085">
        <w:t>66,6</w:t>
      </w:r>
      <w:r w:rsidRPr="00E917D7">
        <w:t xml:space="preserve">% i iznose </w:t>
      </w:r>
      <w:r w:rsidR="00D91085">
        <w:t xml:space="preserve">117.464.692,89 kn. </w:t>
      </w:r>
      <w:r w:rsidRPr="00E917D7">
        <w:t xml:space="preserve"> Stanje novčanih sredstava odraz je naplaćenih prihoda i primitaka i plaćenih rashoda i izdataka Grada</w:t>
      </w:r>
      <w:r>
        <w:t>, posebice prihoda s osnova poreza i prireza na dohodak koji u odnosu na 2021. raste za</w:t>
      </w:r>
      <w:r w:rsidRPr="00E917D7">
        <w:t xml:space="preserve"> </w:t>
      </w:r>
      <w:r>
        <w:t>55</w:t>
      </w:r>
      <w:r w:rsidRPr="00E917D7">
        <w:t>.</w:t>
      </w:r>
      <w:r>
        <w:t>729</w:t>
      </w:r>
      <w:r w:rsidRPr="00E917D7">
        <w:t>.</w:t>
      </w:r>
      <w:r>
        <w:t>767</w:t>
      </w:r>
      <w:r w:rsidRPr="00E917D7">
        <w:t>,</w:t>
      </w:r>
      <w:r>
        <w:t>23</w:t>
      </w:r>
      <w:r w:rsidRPr="00E917D7">
        <w:t xml:space="preserve"> kn ili 20,</w:t>
      </w:r>
      <w:r>
        <w:t>4</w:t>
      </w:r>
      <w:r w:rsidRPr="00E917D7">
        <w:t>%.</w:t>
      </w:r>
      <w:r>
        <w:t xml:space="preserve">, dok je odnosu na plan prihoda za 2022. ostvaren 11.964.864,23 kn više. </w:t>
      </w:r>
      <w:r w:rsidRPr="00E917D7">
        <w:t>U istim su sadržana sredstva za podmirenje kratkoročnih obveza prema dobavljačima koje dospijevaju početkom siječnja 2022.</w:t>
      </w:r>
      <w:r>
        <w:t>, sredstva temeljem uplaćenih depozita i jamčevina, kao i buduće obveze koje se financiraju iz sredstava dugoročnih kredita koji su povučeni do kraja 2022., a nisu u cijelosti utrošeni. U novčanim sredstvima sadržani su</w:t>
      </w:r>
      <w:r w:rsidRPr="00E917D7">
        <w:t xml:space="preserve"> i naplaćeni</w:t>
      </w:r>
      <w:r>
        <w:t>,</w:t>
      </w:r>
      <w:r w:rsidRPr="00E917D7">
        <w:t xml:space="preserve"> a neutrošeni namjenski prihodi.</w:t>
      </w:r>
      <w:r>
        <w:t xml:space="preserve"> Na račun Grada uplaćena su i novčana sredstva proračunskih korisnika, obzirom da su istima zatvoreni žiro računi radi ulaska u punu Riznicu Grada</w:t>
      </w:r>
      <w:r w:rsidR="00D91085">
        <w:t>. Novčana sredstva na računu Grada</w:t>
      </w:r>
      <w:r>
        <w:t xml:space="preserve"> iznose </w:t>
      </w:r>
      <w:r w:rsidR="00D91085" w:rsidRPr="00E917D7">
        <w:t xml:space="preserve"> </w:t>
      </w:r>
      <w:r w:rsidR="00D91085">
        <w:t>116.389.525,20 kn, dok su novčana sredstva na računima za redovno poslovanje koji nisu ugašeni na dan 31.12.2022. i projektnim računima proračunskih korisnika 1.075.167,69 kn</w:t>
      </w:r>
      <w:r>
        <w:t>.</w:t>
      </w:r>
      <w:r w:rsidRPr="00E917D7">
        <w:t xml:space="preserve"> </w:t>
      </w:r>
    </w:p>
    <w:p w14:paraId="288B72F7" w14:textId="3975808A" w:rsidR="002E00E2" w:rsidRDefault="002E00E2" w:rsidP="002E00E2">
      <w:pPr>
        <w:jc w:val="both"/>
      </w:pPr>
      <w:r w:rsidRPr="00E917D7">
        <w:t xml:space="preserve">Vidljivo je da Grad </w:t>
      </w:r>
      <w:r w:rsidR="00D91085">
        <w:t>i korisnici nisu</w:t>
      </w:r>
      <w:r w:rsidR="00D91085" w:rsidRPr="00E917D7">
        <w:t xml:space="preserve"> ima</w:t>
      </w:r>
      <w:r w:rsidR="00D91085">
        <w:t>li</w:t>
      </w:r>
      <w:r w:rsidRPr="00E917D7">
        <w:t xml:space="preserve"> problema s likvidnosti te da je nastavljeno odgovorno upravljanje rashodima koji su trošeni u skladu s ostvarenim prihodima.</w:t>
      </w:r>
    </w:p>
    <w:p w14:paraId="08C63D9C" w14:textId="77777777" w:rsidR="002E00E2" w:rsidRPr="00E917D7" w:rsidRDefault="002E00E2" w:rsidP="002E00E2">
      <w:pPr>
        <w:jc w:val="both"/>
      </w:pPr>
    </w:p>
    <w:p w14:paraId="38362EE9" w14:textId="77777777" w:rsidR="002E00E2" w:rsidRDefault="002E00E2" w:rsidP="002E00E2">
      <w:pPr>
        <w:jc w:val="both"/>
      </w:pPr>
      <w:r w:rsidRPr="00101679">
        <w:rPr>
          <w:b/>
          <w:bCs/>
        </w:rPr>
        <w:t>12</w:t>
      </w:r>
      <w:r>
        <w:tab/>
      </w:r>
      <w:r w:rsidRPr="00E917D7">
        <w:t xml:space="preserve"> Smanjenja u okviru ov</w:t>
      </w:r>
      <w:r>
        <w:t>i</w:t>
      </w:r>
      <w:r w:rsidRPr="00E917D7">
        <w:t xml:space="preserve"> prvenstveno su vezana za način doznačavanja naplaćenih sredstava vodne naknade (dnevni raspored sredstava s namjenskog žiro računa u unaprijed određenom postotku) koji je rezultirao više doznačenim (raspoređenim) sredstvima Hrvatskim vodama u 202</w:t>
      </w:r>
      <w:r>
        <w:t>2</w:t>
      </w:r>
      <w:r w:rsidRPr="00E917D7">
        <w:t xml:space="preserve">. u iznosu </w:t>
      </w:r>
      <w:r>
        <w:t>744</w:t>
      </w:r>
      <w:r w:rsidRPr="00E917D7">
        <w:t>.</w:t>
      </w:r>
      <w:r>
        <w:t>149</w:t>
      </w:r>
      <w:r w:rsidRPr="00E917D7">
        <w:t xml:space="preserve"> </w:t>
      </w:r>
      <w:r>
        <w:t>97</w:t>
      </w:r>
      <w:r w:rsidRPr="00E917D7">
        <w:t>, zatvaranje danog predujma tvrtki Monte-Mont d.o.o.</w:t>
      </w:r>
      <w:r>
        <w:t xml:space="preserve"> u iznosu 3.399.810,01 kn, zatvaranje</w:t>
      </w:r>
      <w:r w:rsidRPr="00E917D7">
        <w:t xml:space="preserve"> potraživanja za uplaćena sredstva za kupovinu zemljišta od tvrtke Vodogradnja d.o.o. u stečaju u iznos</w:t>
      </w:r>
      <w:r>
        <w:t>u</w:t>
      </w:r>
      <w:r w:rsidRPr="00E917D7">
        <w:t xml:space="preserve"> 3.461.750 kn, za koja Grad nije bio najpovoljniji ponuditelj</w:t>
      </w:r>
      <w:r>
        <w:t xml:space="preserve"> i za koji je FINA doznačila sredstva u 2022.</w:t>
      </w:r>
      <w:r w:rsidRPr="00E917D7">
        <w:t>, potraživanja za bolovanje i ostale dane predujmove.</w:t>
      </w:r>
    </w:p>
    <w:p w14:paraId="11B2850D" w14:textId="77777777" w:rsidR="002E00E2" w:rsidRDefault="002E00E2" w:rsidP="002E00E2">
      <w:pPr>
        <w:jc w:val="both"/>
      </w:pPr>
    </w:p>
    <w:p w14:paraId="08A7067D" w14:textId="77777777" w:rsidR="002E00E2" w:rsidRDefault="002E00E2" w:rsidP="002E00E2">
      <w:pPr>
        <w:jc w:val="both"/>
      </w:pPr>
      <w:r w:rsidRPr="00D15CB7">
        <w:rPr>
          <w:b/>
          <w:bCs/>
        </w:rPr>
        <w:t>13</w:t>
      </w:r>
      <w:r>
        <w:tab/>
        <w:t xml:space="preserve">Smanjenje u okviru ove šifre rezultat je ispravka evidentiranja potraživanja s osnova plaćenih jamstava za proračunskog korisnika Dječji vrtić Osijek u iznosu 18.977.261,37 kn i </w:t>
      </w:r>
      <w:r>
        <w:lastRenderedPageBreak/>
        <w:t>Športski objekti d.o.o. Osijek u iznosu 18.098.597,26 kn. Ista su isknjižena iz Bilance Grada. Za potraživanja u iznosu 2.082.918,63 kn sačinjen je ispravak potraživanja sukladno zakonskim propisima.</w:t>
      </w:r>
    </w:p>
    <w:p w14:paraId="0AB096D2" w14:textId="77777777" w:rsidR="002E00E2" w:rsidRPr="00E917D7" w:rsidRDefault="002E00E2" w:rsidP="002E00E2">
      <w:pPr>
        <w:jc w:val="both"/>
      </w:pPr>
    </w:p>
    <w:p w14:paraId="3396AC9D" w14:textId="77777777" w:rsidR="002E00E2" w:rsidRDefault="002E00E2" w:rsidP="002E00E2">
      <w:pPr>
        <w:jc w:val="both"/>
      </w:pPr>
      <w:r w:rsidRPr="00D15CB7">
        <w:rPr>
          <w:b/>
          <w:bCs/>
        </w:rPr>
        <w:t>15</w:t>
      </w:r>
      <w:r>
        <w:tab/>
      </w:r>
      <w:r w:rsidRPr="00E917D7">
        <w:t>Povećanje u okviru ov</w:t>
      </w:r>
      <w:r>
        <w:t>e šifre</w:t>
      </w:r>
      <w:r w:rsidRPr="00E917D7">
        <w:t xml:space="preserve"> </w:t>
      </w:r>
      <w:r>
        <w:t xml:space="preserve">iznosi 10.450.030,10 kn i </w:t>
      </w:r>
      <w:r w:rsidRPr="00E917D7">
        <w:t>vezano je za izvršen</w:t>
      </w:r>
      <w:r>
        <w:t>o</w:t>
      </w:r>
      <w:r w:rsidRPr="00E917D7">
        <w:t xml:space="preserve"> povećanje </w:t>
      </w:r>
      <w:r>
        <w:t xml:space="preserve">temeljnog </w:t>
      </w:r>
      <w:r w:rsidRPr="00E917D7">
        <w:t xml:space="preserve">kapitala, odnosno poslovnog udjela Grada Osijeka u trgovačkom društvu </w:t>
      </w:r>
      <w:r>
        <w:t>Športski objekti d.o.o. unosom nekretnina i novca u iznosu 9.000.000,00 kn</w:t>
      </w:r>
      <w:r w:rsidRPr="00E917D7">
        <w:t xml:space="preserve">, otkupa poslovnih udjela od Općine </w:t>
      </w:r>
      <w:r>
        <w:t>Semeljci u društvu Vodovod-Osijek d.o.o. u iznosu 1.849.000,00 kn, udjela u Fondu hrvatskih branitelja (</w:t>
      </w:r>
      <w:proofErr w:type="spellStart"/>
      <w:r>
        <w:t>ošasna</w:t>
      </w:r>
      <w:proofErr w:type="spellEnd"/>
      <w:r>
        <w:t xml:space="preserve"> imovina) u iznosu 16.680,10 kn, prijenos Osječko baranjskoj županiji vlasništva nad tvrtkom Osječki sajam d.o.o. Osijek u iznosu 250.000,00 kn, prodaju dionica u trgovačkom društvu Zavod za urbanizam i izgradnju d.d.</w:t>
      </w:r>
      <w:r w:rsidRPr="00E917D7">
        <w:t xml:space="preserve"> </w:t>
      </w:r>
      <w:r>
        <w:t>u iznosu 144.000,00 kn i Optima Telekom d.d. u iznosu 21.650,00 kn.</w:t>
      </w:r>
    </w:p>
    <w:p w14:paraId="3668D0F6" w14:textId="77777777" w:rsidR="002E00E2" w:rsidRPr="00E917D7" w:rsidRDefault="002E00E2" w:rsidP="002E00E2">
      <w:pPr>
        <w:jc w:val="both"/>
      </w:pPr>
    </w:p>
    <w:p w14:paraId="6E25439B" w14:textId="35D68814" w:rsidR="002E00E2" w:rsidRDefault="002E00E2" w:rsidP="002E00E2">
      <w:pPr>
        <w:jc w:val="both"/>
        <w:rPr>
          <w:highlight w:val="yellow"/>
        </w:rPr>
      </w:pPr>
      <w:r w:rsidRPr="00F61478">
        <w:rPr>
          <w:b/>
          <w:bCs/>
        </w:rPr>
        <w:t>16</w:t>
      </w:r>
      <w:r>
        <w:tab/>
      </w:r>
      <w:r w:rsidRPr="00E917D7">
        <w:t xml:space="preserve"> Potraživanja za prihode poslovanja manja su </w:t>
      </w:r>
      <w:r w:rsidRPr="003533C7">
        <w:t>za 7.896.237,48kn</w:t>
      </w:r>
      <w:r w:rsidR="00D91085">
        <w:t>, dok je kod korisnika vidljivo povećanje u iznosu 948.723,14 kn</w:t>
      </w:r>
      <w:r w:rsidR="00D91085" w:rsidRPr="00E917D7">
        <w:t>.</w:t>
      </w:r>
      <w:r w:rsidRPr="00E917D7">
        <w:t xml:space="preserve"> Iz obrazloženja uz obrazac P-VRIO razvidno je da su u 202</w:t>
      </w:r>
      <w:r>
        <w:t>2</w:t>
      </w:r>
      <w:r w:rsidRPr="00E917D7">
        <w:t>. isknjižena potraživanja po odluci o otpisu, odnosno provedenoj inventuri za 202</w:t>
      </w:r>
      <w:r>
        <w:t>1</w:t>
      </w:r>
      <w:r w:rsidRPr="00E917D7">
        <w:t xml:space="preserve">. u iznosu  </w:t>
      </w:r>
      <w:r>
        <w:t>90.640,73</w:t>
      </w:r>
      <w:r w:rsidRPr="00E917D7">
        <w:t xml:space="preserve"> kn</w:t>
      </w:r>
      <w:r>
        <w:t xml:space="preserve">. Temeljem odluke Hrvatskih voda izvršeno je i </w:t>
      </w:r>
      <w:proofErr w:type="spellStart"/>
      <w:r>
        <w:t>isknjiženje</w:t>
      </w:r>
      <w:proofErr w:type="spellEnd"/>
      <w:r>
        <w:t xml:space="preserve"> potraživanja s osnova vodne naknade, za koje poslove vođenja i naplate radi Grad Osijek u iznosu 5.566.526,64 kn</w:t>
      </w:r>
      <w:r w:rsidRPr="00E917D7">
        <w:t xml:space="preserve">. </w:t>
      </w:r>
      <w:r>
        <w:t>Z</w:t>
      </w:r>
      <w:r w:rsidRPr="00E917D7">
        <w:t xml:space="preserve">a dio nenaplaćenih potraživanja iz ranijih godina napravljen je ispravak potraživanja na propisani način u ukupnom iznosu </w:t>
      </w:r>
      <w:r>
        <w:t>29</w:t>
      </w:r>
      <w:r w:rsidRPr="00E917D7">
        <w:t>.</w:t>
      </w:r>
      <w:r>
        <w:t>446</w:t>
      </w:r>
      <w:r w:rsidRPr="00E917D7">
        <w:t>.</w:t>
      </w:r>
      <w:r>
        <w:t xml:space="preserve">482,50 </w:t>
      </w:r>
      <w:r w:rsidRPr="00E917D7">
        <w:t>kn pri čemu su najznačajnija ispravljena potraživanja komunalna</w:t>
      </w:r>
      <w:r>
        <w:t xml:space="preserve"> </w:t>
      </w:r>
      <w:r w:rsidRPr="00E917D7">
        <w:t>i vodna naknada</w:t>
      </w:r>
      <w:r>
        <w:t xml:space="preserve"> i</w:t>
      </w:r>
      <w:r w:rsidRPr="00E917D7">
        <w:t xml:space="preserve"> porez na promet nekretnina, prodaja stanova na obročnu otplatu i dr. Uknjižena su potraživanja za pomoći koje nisu uplaćene do 31.12.202</w:t>
      </w:r>
      <w:r>
        <w:t>2</w:t>
      </w:r>
      <w:r w:rsidRPr="00E917D7">
        <w:t>. temeljem</w:t>
      </w:r>
      <w:r>
        <w:t xml:space="preserve"> podnesenih zahtjeva za</w:t>
      </w:r>
      <w:r w:rsidRPr="00E917D7">
        <w:t xml:space="preserve"> izvršen</w:t>
      </w:r>
      <w:r>
        <w:t>e</w:t>
      </w:r>
      <w:r w:rsidRPr="00E917D7">
        <w:t xml:space="preserve"> rashoda za projekte sufinancirane iz fondova Europske</w:t>
      </w:r>
      <w:r>
        <w:t xml:space="preserve"> unije. Ista su</w:t>
      </w:r>
      <w:r w:rsidRPr="00E917D7">
        <w:t xml:space="preserve"> značajno manja u odnosu na prethodnu godinu i iznose </w:t>
      </w:r>
      <w:r>
        <w:t>1</w:t>
      </w:r>
      <w:r w:rsidRPr="00E917D7">
        <w:t>.</w:t>
      </w:r>
      <w:r>
        <w:t>326</w:t>
      </w:r>
      <w:r w:rsidRPr="00E917D7">
        <w:t>.</w:t>
      </w:r>
      <w:r>
        <w:t>069,60</w:t>
      </w:r>
      <w:r w:rsidRPr="00E917D7">
        <w:t xml:space="preserve"> kn.</w:t>
      </w:r>
      <w:r w:rsidRPr="00E917D7">
        <w:rPr>
          <w:highlight w:val="yellow"/>
        </w:rPr>
        <w:t xml:space="preserve"> </w:t>
      </w:r>
    </w:p>
    <w:p w14:paraId="2AEEBDA5" w14:textId="77777777" w:rsidR="002E00E2" w:rsidRPr="00E917D7" w:rsidRDefault="002E00E2" w:rsidP="002E00E2">
      <w:pPr>
        <w:jc w:val="both"/>
        <w:rPr>
          <w:highlight w:val="yellow"/>
        </w:rPr>
      </w:pPr>
    </w:p>
    <w:p w14:paraId="23EE360A" w14:textId="77777777" w:rsidR="002E00E2" w:rsidRDefault="002E00E2" w:rsidP="002E00E2">
      <w:pPr>
        <w:jc w:val="both"/>
      </w:pPr>
      <w:r w:rsidRPr="00B47528">
        <w:rPr>
          <w:b/>
          <w:bCs/>
        </w:rPr>
        <w:t>17</w:t>
      </w:r>
      <w:r>
        <w:tab/>
      </w:r>
      <w:r w:rsidRPr="00E917D7">
        <w:t xml:space="preserve"> Potraživanja od prodaje nefinancijske imovine </w:t>
      </w:r>
      <w:r>
        <w:t>manja</w:t>
      </w:r>
      <w:r w:rsidRPr="00E917D7">
        <w:t xml:space="preserve"> su u odnosu na prethodnu godinu</w:t>
      </w:r>
      <w:r>
        <w:t xml:space="preserve"> kao rezultat </w:t>
      </w:r>
      <w:r w:rsidRPr="00E917D7">
        <w:t>provedenog ispravka potraživanja za obročnu otplatu stanova</w:t>
      </w:r>
      <w:r>
        <w:t xml:space="preserve"> u</w:t>
      </w:r>
      <w:r w:rsidRPr="00E917D7">
        <w:t xml:space="preserve"> 202</w:t>
      </w:r>
      <w:r>
        <w:t>2. Ispravak potraživanja napravljen je u iznosu 4.611.226,45 kn i značajno je veći u odnosu na 2021. iz razloga pogrešno utvrđene starosti potraživanja u 2021.</w:t>
      </w:r>
      <w:r w:rsidRPr="00E917D7">
        <w:t xml:space="preserve"> </w:t>
      </w:r>
    </w:p>
    <w:p w14:paraId="049BE1F9" w14:textId="77777777" w:rsidR="002E00E2" w:rsidRPr="00E917D7" w:rsidRDefault="002E00E2" w:rsidP="002E00E2">
      <w:pPr>
        <w:jc w:val="both"/>
      </w:pPr>
    </w:p>
    <w:p w14:paraId="6B38B3BE" w14:textId="41A7F2E4" w:rsidR="002E00E2" w:rsidRPr="00E917D7" w:rsidRDefault="002E00E2" w:rsidP="002E00E2">
      <w:pPr>
        <w:jc w:val="both"/>
      </w:pPr>
      <w:r w:rsidRPr="00B47528">
        <w:rPr>
          <w:b/>
          <w:bCs/>
        </w:rPr>
        <w:t>19</w:t>
      </w:r>
      <w:r w:rsidRPr="00E917D7">
        <w:t xml:space="preserve"> – U okviru ovoga AOP-a iskazani su rashodi kontinuiteta za plaću za prosinac 202</w:t>
      </w:r>
      <w:r>
        <w:t>2</w:t>
      </w:r>
      <w:r w:rsidRPr="00E917D7">
        <w:t>. kao i isplate naknade vijećnicima i upravnim vijećima te posebnim odborima Gradskog vijeća i gradonačelnika.</w:t>
      </w:r>
    </w:p>
    <w:p w14:paraId="79547941" w14:textId="77777777" w:rsidR="002E00E2" w:rsidRPr="00E917D7" w:rsidRDefault="002E00E2" w:rsidP="002E00E2">
      <w:pPr>
        <w:jc w:val="center"/>
        <w:rPr>
          <w:b/>
        </w:rPr>
      </w:pPr>
    </w:p>
    <w:p w14:paraId="4E992107" w14:textId="77777777" w:rsidR="002E00E2" w:rsidRDefault="002E00E2" w:rsidP="002E00E2">
      <w:pPr>
        <w:jc w:val="both"/>
        <w:rPr>
          <w:b/>
          <w:u w:val="single"/>
        </w:rPr>
      </w:pPr>
      <w:r w:rsidRPr="00E917D7">
        <w:rPr>
          <w:b/>
          <w:u w:val="single"/>
        </w:rPr>
        <w:t>Obveze</w:t>
      </w:r>
    </w:p>
    <w:p w14:paraId="05F78899" w14:textId="77777777" w:rsidR="002E00E2" w:rsidRDefault="002E00E2" w:rsidP="002E00E2">
      <w:pPr>
        <w:jc w:val="both"/>
      </w:pPr>
      <w:r w:rsidRPr="00E917D7">
        <w:t>Ukupne obveze Grada Osijeka na dan 31.12.202</w:t>
      </w:r>
      <w:r>
        <w:t>2</w:t>
      </w:r>
      <w:r w:rsidRPr="00E917D7">
        <w:t xml:space="preserve">. iznose </w:t>
      </w:r>
      <w:r w:rsidRPr="0065626A">
        <w:t>27</w:t>
      </w:r>
      <w:r>
        <w:t>7</w:t>
      </w:r>
      <w:r w:rsidRPr="0065626A">
        <w:t>.</w:t>
      </w:r>
      <w:r>
        <w:t>550</w:t>
      </w:r>
      <w:r w:rsidRPr="0065626A">
        <w:t>.</w:t>
      </w:r>
      <w:r>
        <w:t>885</w:t>
      </w:r>
      <w:r w:rsidRPr="0065626A">
        <w:t>,</w:t>
      </w:r>
      <w:r>
        <w:t>52.</w:t>
      </w:r>
    </w:p>
    <w:p w14:paraId="64483CBA" w14:textId="4FB15173" w:rsidR="002E00E2" w:rsidRPr="0065626A" w:rsidRDefault="002E00E2" w:rsidP="002E00E2">
      <w:pPr>
        <w:jc w:val="both"/>
      </w:pPr>
      <w:r w:rsidRPr="0065626A">
        <w:t xml:space="preserve"> je prvenstveno vezan za povlačenje kreditnih sredstava za financiranje kapitalnih investicija ugovorenih u 2020. i 2021. do visine ugovorenog iznosa, iako se sredstva nisu u cijelosti utrošila u 2022.</w:t>
      </w:r>
    </w:p>
    <w:p w14:paraId="262167B6" w14:textId="77777777" w:rsidR="002E00E2" w:rsidRPr="00E917D7" w:rsidRDefault="002E00E2" w:rsidP="002E00E2">
      <w:pPr>
        <w:jc w:val="both"/>
      </w:pPr>
      <w:r w:rsidRPr="00E917D7">
        <w:t>Obveze su uredno izvršavane u valuti što je i vidljivo iz pregleda dospjelih obveza. Na dan 31.12.202</w:t>
      </w:r>
      <w:r>
        <w:t>2</w:t>
      </w:r>
      <w:r w:rsidRPr="00E917D7">
        <w:t>. nema dospjelih neplaćenih obveza.</w:t>
      </w:r>
    </w:p>
    <w:p w14:paraId="6A947B85" w14:textId="77777777" w:rsidR="002E00E2" w:rsidRPr="00E917D7" w:rsidRDefault="002E00E2" w:rsidP="002E00E2">
      <w:pPr>
        <w:jc w:val="both"/>
      </w:pPr>
      <w:r w:rsidRPr="00E917D7">
        <w:t xml:space="preserve">Obveze </w:t>
      </w:r>
      <w:r>
        <w:t>za rashode po</w:t>
      </w:r>
      <w:r w:rsidRPr="00E917D7">
        <w:t>s</w:t>
      </w:r>
      <w:r>
        <w:t>lovanja i rashode za nefinancijsku imovinu</w:t>
      </w:r>
      <w:r w:rsidRPr="00E917D7">
        <w:t xml:space="preserve"> detaljnije</w:t>
      </w:r>
      <w:r>
        <w:t xml:space="preserve"> su</w:t>
      </w:r>
      <w:r w:rsidRPr="00E917D7">
        <w:t xml:space="preserve"> obrazložene u bilješkama uz obrazac Obveze. </w:t>
      </w:r>
    </w:p>
    <w:p w14:paraId="5D538551" w14:textId="77777777" w:rsidR="002E00E2" w:rsidRPr="00E917D7" w:rsidRDefault="002E00E2" w:rsidP="002E00E2">
      <w:pPr>
        <w:ind w:firstLine="708"/>
        <w:jc w:val="both"/>
        <w:rPr>
          <w:b/>
          <w:u w:val="single"/>
        </w:rPr>
      </w:pPr>
      <w:r w:rsidRPr="00A02517">
        <w:rPr>
          <w:bCs/>
        </w:rPr>
        <w:t>Obrazloženj</w:t>
      </w:r>
      <w:r>
        <w:rPr>
          <w:bCs/>
        </w:rPr>
        <w:t>e</w:t>
      </w:r>
      <w:r w:rsidRPr="00A02517">
        <w:rPr>
          <w:bCs/>
        </w:rPr>
        <w:t xml:space="preserve"> obveza</w:t>
      </w:r>
      <w:r>
        <w:rPr>
          <w:bCs/>
        </w:rPr>
        <w:t xml:space="preserve"> u okviru šifre </w:t>
      </w:r>
      <w:r w:rsidRPr="007D404B">
        <w:rPr>
          <w:b/>
        </w:rPr>
        <w:t>26</w:t>
      </w:r>
      <w:r w:rsidRPr="00A02517">
        <w:rPr>
          <w:bCs/>
        </w:rPr>
        <w:t xml:space="preserve"> dano je u nastavku.</w:t>
      </w:r>
      <w:r w:rsidRPr="00E917D7">
        <w:tab/>
      </w:r>
      <w:r>
        <w:rPr>
          <w:b/>
        </w:rPr>
        <w:t xml:space="preserve"> </w:t>
      </w:r>
    </w:p>
    <w:p w14:paraId="424E8988" w14:textId="0C1DE188" w:rsidR="002E00E2" w:rsidRDefault="002E00E2" w:rsidP="002E00E2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E917D7">
        <w:t xml:space="preserve">Vidljivo je povećanje nedospjelih obveza po </w:t>
      </w:r>
      <w:r>
        <w:t xml:space="preserve">dugoročnim </w:t>
      </w:r>
      <w:r w:rsidRPr="00E917D7">
        <w:t xml:space="preserve">kreditima u iznosu od </w:t>
      </w:r>
      <w:r>
        <w:t>58</w:t>
      </w:r>
      <w:r w:rsidRPr="00E917D7">
        <w:t>.</w:t>
      </w:r>
      <w:r>
        <w:t>798</w:t>
      </w:r>
      <w:r w:rsidRPr="00E917D7">
        <w:t>.</w:t>
      </w:r>
      <w:r>
        <w:t>514,18</w:t>
      </w:r>
      <w:r w:rsidRPr="00E917D7">
        <w:t xml:space="preserve"> kn ili </w:t>
      </w:r>
      <w:r>
        <w:t>34</w:t>
      </w:r>
      <w:r w:rsidRPr="00E917D7">
        <w:t>,</w:t>
      </w:r>
      <w:r>
        <w:t>3</w:t>
      </w:r>
      <w:r w:rsidRPr="00E917D7">
        <w:t xml:space="preserve">%. Isto proizlazi iz provedenog dugoročnog zaduživanja Grada Osijeka u </w:t>
      </w:r>
      <w:r>
        <w:t>2022.</w:t>
      </w:r>
      <w:r w:rsidRPr="00E917D7">
        <w:t>. i povlačenje dijela kreditnih sredstava temeljem ugovora zaključenih u 20</w:t>
      </w:r>
      <w:r>
        <w:t>20</w:t>
      </w:r>
      <w:r w:rsidRPr="00E917D7">
        <w:t>. i 202</w:t>
      </w:r>
      <w:r>
        <w:t>1</w:t>
      </w:r>
      <w:r w:rsidRPr="00E917D7">
        <w:t xml:space="preserve">.  </w:t>
      </w:r>
      <w:r>
        <w:t xml:space="preserve">U </w:t>
      </w:r>
      <w:r>
        <w:lastRenderedPageBreak/>
        <w:t>pravilu je u</w:t>
      </w:r>
      <w:r w:rsidRPr="00E917D7">
        <w:t>govarano  sukcesivno povlačenje kreditnih sredstava temeljem ispostavljenih računa i situacija dobavljača. Dospjele obveze za otplatu glavnice i kamata uredno su izvršavane.</w:t>
      </w:r>
    </w:p>
    <w:p w14:paraId="59FEF7B4" w14:textId="77777777" w:rsidR="002E00E2" w:rsidRDefault="002E00E2" w:rsidP="002E00E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</w:t>
      </w:r>
      <w:r w:rsidRPr="00C30A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2022.</w:t>
      </w:r>
      <w:r w:rsidRPr="00C30A6F">
        <w:rPr>
          <w:rFonts w:ascii="Times New Roman" w:hAnsi="Times New Roman" w:cs="Times New Roman"/>
        </w:rPr>
        <w:t xml:space="preserve"> ugovor</w:t>
      </w:r>
      <w:r>
        <w:rPr>
          <w:rFonts w:ascii="Times New Roman" w:hAnsi="Times New Roman" w:cs="Times New Roman"/>
        </w:rPr>
        <w:t>en</w:t>
      </w:r>
      <w:r w:rsidRPr="00C30A6F">
        <w:rPr>
          <w:rFonts w:ascii="Times New Roman" w:hAnsi="Times New Roman" w:cs="Times New Roman"/>
        </w:rPr>
        <w:t xml:space="preserve"> je </w:t>
      </w:r>
      <w:r>
        <w:rPr>
          <w:rFonts w:ascii="Times New Roman" w:hAnsi="Times New Roman" w:cs="Times New Roman"/>
        </w:rPr>
        <w:t xml:space="preserve">kredit za refinanciranje kreditnih obveza i </w:t>
      </w:r>
      <w:r w:rsidRPr="00C30A6F">
        <w:rPr>
          <w:rFonts w:ascii="Times New Roman" w:hAnsi="Times New Roman" w:cs="Times New Roman"/>
        </w:rPr>
        <w:t>dva dugoročna kredita za financiranje kapitalnih projekata</w:t>
      </w:r>
      <w:r>
        <w:rPr>
          <w:rFonts w:ascii="Times New Roman" w:hAnsi="Times New Roman" w:cs="Times New Roman"/>
        </w:rPr>
        <w:t>.</w:t>
      </w:r>
    </w:p>
    <w:p w14:paraId="2571914E" w14:textId="77777777" w:rsidR="002E00E2" w:rsidRPr="00C30A6F" w:rsidRDefault="002E00E2" w:rsidP="002E00E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D50DE2">
        <w:t>U lipnju 2022. izvršeno je refinanciranje ostatka duga po glavnici sedam kredita u ukupnom iznosu 107.443.828,67 kuna. Kredit za refinanciranje realiziran je kod Privredne banke Zagreb d.d., temeljem odluke Gradskog vijeća Grada Osijeka i dobivene suglasnosti Vlade Republike Hrvatske. Zaduživanje je realizirano pod iznimno povoljnim uvjetima (nominalna kamatna stopa 0,325%, efektivna 0,33%), s rokom otplate 8 godina</w:t>
      </w:r>
      <w:r>
        <w:t>.</w:t>
      </w:r>
    </w:p>
    <w:p w14:paraId="10E019CE" w14:textId="77777777" w:rsidR="002E00E2" w:rsidRPr="00C30A6F" w:rsidRDefault="002E00E2" w:rsidP="002E00E2">
      <w:pPr>
        <w:ind w:firstLine="708"/>
        <w:jc w:val="both"/>
        <w:rPr>
          <w:szCs w:val="20"/>
        </w:rPr>
      </w:pPr>
      <w:r w:rsidRPr="00C30A6F">
        <w:rPr>
          <w:szCs w:val="20"/>
        </w:rPr>
        <w:t>Za planirano dugoročno zaduživanje Grada Osijeka u 2022. u iznosu 50.000.000,00 kn, kao najpovoljniji ponuditelj temeljem provedenog javnog poziva, izabrana je Hrvatska poštanska banka d.d. s ponuđenom kamatnom stopom u visini 0,29% (nominalna kamatna stopa jednaka je efektivnoj) i rokom otplate 10 godina. Vlada Republike Hrvatske dala je krajem lipnja 2022. suglasnost na predmetno zaduživanje. Ugovor o kreditu zaključen je 19. srpnja 2022.</w:t>
      </w:r>
    </w:p>
    <w:p w14:paraId="004ABDB8" w14:textId="77777777" w:rsidR="002E00E2" w:rsidRPr="00C30A6F" w:rsidRDefault="002E00E2" w:rsidP="002E00E2">
      <w:pPr>
        <w:ind w:firstLine="708"/>
        <w:jc w:val="both"/>
        <w:rPr>
          <w:szCs w:val="20"/>
        </w:rPr>
      </w:pPr>
      <w:r w:rsidRPr="00C30A6F">
        <w:rPr>
          <w:szCs w:val="20"/>
        </w:rPr>
        <w:t>Kreditno zaduživanje ugovoreno je za financiranje sljedećih kapitalnih projekata Grada:</w:t>
      </w:r>
    </w:p>
    <w:p w14:paraId="4E5CF311" w14:textId="77777777" w:rsidR="002E00E2" w:rsidRPr="00C30A6F" w:rsidRDefault="002E00E2" w:rsidP="002E00E2">
      <w:pPr>
        <w:ind w:firstLine="708"/>
        <w:jc w:val="both"/>
        <w:rPr>
          <w:szCs w:val="20"/>
        </w:rPr>
      </w:pPr>
      <w:r w:rsidRPr="00C30A6F">
        <w:rPr>
          <w:szCs w:val="20"/>
        </w:rPr>
        <w:t>K108107</w:t>
      </w:r>
      <w:r w:rsidRPr="00C30A6F">
        <w:rPr>
          <w:szCs w:val="20"/>
        </w:rPr>
        <w:tab/>
        <w:t xml:space="preserve">Industrijska zona </w:t>
      </w:r>
      <w:proofErr w:type="spellStart"/>
      <w:r w:rsidRPr="00C30A6F">
        <w:rPr>
          <w:szCs w:val="20"/>
        </w:rPr>
        <w:t>Nemetin</w:t>
      </w:r>
      <w:proofErr w:type="spellEnd"/>
      <w:r w:rsidRPr="00C30A6F">
        <w:rPr>
          <w:szCs w:val="20"/>
        </w:rPr>
        <w:t xml:space="preserve"> III faza</w:t>
      </w:r>
    </w:p>
    <w:p w14:paraId="5EE5A7FF" w14:textId="77777777" w:rsidR="002E00E2" w:rsidRPr="00C30A6F" w:rsidRDefault="002E00E2" w:rsidP="002E00E2">
      <w:pPr>
        <w:ind w:firstLine="708"/>
        <w:jc w:val="both"/>
        <w:rPr>
          <w:szCs w:val="20"/>
        </w:rPr>
      </w:pPr>
      <w:r w:rsidRPr="00C30A6F">
        <w:rPr>
          <w:szCs w:val="20"/>
        </w:rPr>
        <w:t>K108114</w:t>
      </w:r>
      <w:r w:rsidRPr="00C30A6F">
        <w:rPr>
          <w:szCs w:val="20"/>
        </w:rPr>
        <w:tab/>
        <w:t>Uređenje ''Tržnice'' Osijek</w:t>
      </w:r>
    </w:p>
    <w:p w14:paraId="2B6ABB2D" w14:textId="77777777" w:rsidR="002E00E2" w:rsidRPr="00C30A6F" w:rsidRDefault="002E00E2" w:rsidP="002E00E2">
      <w:pPr>
        <w:ind w:firstLine="708"/>
        <w:jc w:val="both"/>
        <w:rPr>
          <w:szCs w:val="20"/>
        </w:rPr>
      </w:pPr>
      <w:r w:rsidRPr="00C30A6F">
        <w:rPr>
          <w:szCs w:val="20"/>
        </w:rPr>
        <w:t>K108302</w:t>
      </w:r>
      <w:r w:rsidRPr="00C30A6F">
        <w:rPr>
          <w:szCs w:val="20"/>
        </w:rPr>
        <w:tab/>
        <w:t>IT PARK</w:t>
      </w:r>
    </w:p>
    <w:p w14:paraId="389B8983" w14:textId="77777777" w:rsidR="002E00E2" w:rsidRPr="00C30A6F" w:rsidRDefault="002E00E2" w:rsidP="002E00E2">
      <w:pPr>
        <w:ind w:firstLine="708"/>
        <w:jc w:val="both"/>
        <w:rPr>
          <w:szCs w:val="20"/>
        </w:rPr>
      </w:pPr>
      <w:r w:rsidRPr="00C30A6F">
        <w:rPr>
          <w:szCs w:val="20"/>
        </w:rPr>
        <w:t>K114402</w:t>
      </w:r>
      <w:r w:rsidRPr="00C30A6F">
        <w:rPr>
          <w:szCs w:val="20"/>
        </w:rPr>
        <w:tab/>
        <w:t>Kupovina poslovnih objekata</w:t>
      </w:r>
    </w:p>
    <w:p w14:paraId="41F72A1A" w14:textId="77777777" w:rsidR="002E00E2" w:rsidRPr="00C30A6F" w:rsidRDefault="002E00E2" w:rsidP="002E00E2">
      <w:pPr>
        <w:ind w:firstLine="708"/>
        <w:jc w:val="both"/>
        <w:rPr>
          <w:szCs w:val="20"/>
        </w:rPr>
      </w:pPr>
      <w:r w:rsidRPr="00C30A6F">
        <w:rPr>
          <w:szCs w:val="20"/>
        </w:rPr>
        <w:t>K115101</w:t>
      </w:r>
      <w:r w:rsidRPr="00C30A6F">
        <w:rPr>
          <w:szCs w:val="20"/>
        </w:rPr>
        <w:tab/>
        <w:t>Izgradnja cesta</w:t>
      </w:r>
    </w:p>
    <w:p w14:paraId="4216F42C" w14:textId="77777777" w:rsidR="002E00E2" w:rsidRPr="00C30A6F" w:rsidRDefault="002E00E2" w:rsidP="002E00E2">
      <w:pPr>
        <w:ind w:firstLine="708"/>
        <w:jc w:val="both"/>
        <w:rPr>
          <w:szCs w:val="20"/>
        </w:rPr>
      </w:pPr>
      <w:r w:rsidRPr="00C30A6F">
        <w:rPr>
          <w:szCs w:val="20"/>
        </w:rPr>
        <w:t>K115604</w:t>
      </w:r>
      <w:r w:rsidRPr="00C30A6F">
        <w:rPr>
          <w:szCs w:val="20"/>
        </w:rPr>
        <w:tab/>
        <w:t>Rekonstrukcija i dogradnja DV Latica-Gornji grad</w:t>
      </w:r>
    </w:p>
    <w:p w14:paraId="05A215D4" w14:textId="77777777" w:rsidR="002E00E2" w:rsidRPr="00C30A6F" w:rsidRDefault="002E00E2" w:rsidP="002E00E2">
      <w:pPr>
        <w:ind w:firstLine="708"/>
        <w:jc w:val="both"/>
        <w:rPr>
          <w:szCs w:val="20"/>
        </w:rPr>
      </w:pPr>
      <w:r w:rsidRPr="00C30A6F">
        <w:rPr>
          <w:szCs w:val="20"/>
        </w:rPr>
        <w:t>K115605</w:t>
      </w:r>
      <w:r w:rsidRPr="00C30A6F">
        <w:rPr>
          <w:szCs w:val="20"/>
        </w:rPr>
        <w:tab/>
        <w:t>Izgradnja DV Uske njive</w:t>
      </w:r>
    </w:p>
    <w:p w14:paraId="362C1153" w14:textId="77777777" w:rsidR="002E00E2" w:rsidRPr="00C30A6F" w:rsidRDefault="002E00E2" w:rsidP="002E00E2">
      <w:pPr>
        <w:ind w:firstLine="708"/>
        <w:jc w:val="both"/>
        <w:rPr>
          <w:szCs w:val="20"/>
        </w:rPr>
      </w:pPr>
      <w:r w:rsidRPr="00C30A6F">
        <w:rPr>
          <w:szCs w:val="20"/>
        </w:rPr>
        <w:t>K115606</w:t>
      </w:r>
      <w:r w:rsidRPr="00C30A6F">
        <w:rPr>
          <w:szCs w:val="20"/>
        </w:rPr>
        <w:tab/>
        <w:t>Izgradnja DV Vijenac lipa-Cvjetno naselje</w:t>
      </w:r>
    </w:p>
    <w:p w14:paraId="53A1768A" w14:textId="77777777" w:rsidR="002E00E2" w:rsidRDefault="002E00E2" w:rsidP="002E00E2">
      <w:pPr>
        <w:ind w:firstLine="708"/>
        <w:jc w:val="both"/>
        <w:rPr>
          <w:szCs w:val="20"/>
        </w:rPr>
      </w:pPr>
      <w:r w:rsidRPr="00C30A6F">
        <w:rPr>
          <w:szCs w:val="20"/>
        </w:rPr>
        <w:t>K115901</w:t>
      </w:r>
      <w:r w:rsidRPr="00C30A6F">
        <w:rPr>
          <w:szCs w:val="20"/>
        </w:rPr>
        <w:tab/>
        <w:t>Izgradnja i rekonstrukcija sportskih objekata</w:t>
      </w:r>
    </w:p>
    <w:p w14:paraId="744D80B8" w14:textId="77777777" w:rsidR="002E00E2" w:rsidRPr="00C30A6F" w:rsidRDefault="002E00E2" w:rsidP="002E00E2">
      <w:pPr>
        <w:ind w:firstLine="708"/>
        <w:jc w:val="both"/>
        <w:rPr>
          <w:szCs w:val="20"/>
        </w:rPr>
      </w:pPr>
      <w:r>
        <w:rPr>
          <w:szCs w:val="20"/>
        </w:rPr>
        <w:t>U 2022. povučena su kreditna sredstva u iznosu 7.000.000,00 kn.</w:t>
      </w:r>
    </w:p>
    <w:p w14:paraId="5C5004F5" w14:textId="77777777" w:rsidR="002E00E2" w:rsidRPr="00C30A6F" w:rsidRDefault="002E00E2" w:rsidP="002E00E2">
      <w:pPr>
        <w:ind w:firstLine="708"/>
        <w:jc w:val="both"/>
        <w:rPr>
          <w:szCs w:val="20"/>
        </w:rPr>
      </w:pPr>
    </w:p>
    <w:p w14:paraId="04DB1D6C" w14:textId="77777777" w:rsidR="002E00E2" w:rsidRPr="00C30A6F" w:rsidRDefault="002E00E2" w:rsidP="002E00E2">
      <w:pPr>
        <w:ind w:firstLine="708"/>
        <w:jc w:val="both"/>
        <w:rPr>
          <w:szCs w:val="20"/>
        </w:rPr>
      </w:pPr>
      <w:r w:rsidRPr="00C30A6F">
        <w:rPr>
          <w:szCs w:val="20"/>
        </w:rPr>
        <w:t>Za kreditno zaduživanje u iznosu od 45.000.000,00 kn, temeljem provedenog javnog poziva, kao najpovoljniji ponuditelj izabrana je OTP banka d.d. Gradsko vijeće donijelo je 28. lipnja 2022. odluku o predmetnom zaduživanju na rok od 8 godina, uz fiksnu kamatnu stopu od 1,20% nominalna odnosno 1,23% efektivna. Vlada Republike Hrvatske dala je suglasnost na predmetno zaduživanje 27. listopada 2022.  Ugovor o kreditu zaključen je 8. prosinca 2022.</w:t>
      </w:r>
    </w:p>
    <w:p w14:paraId="650479B8" w14:textId="77777777" w:rsidR="002E00E2" w:rsidRPr="00C30A6F" w:rsidRDefault="002E00E2" w:rsidP="002E00E2">
      <w:pPr>
        <w:ind w:firstLine="708"/>
        <w:jc w:val="both"/>
        <w:rPr>
          <w:szCs w:val="20"/>
        </w:rPr>
      </w:pPr>
      <w:r w:rsidRPr="00C30A6F">
        <w:rPr>
          <w:szCs w:val="20"/>
        </w:rPr>
        <w:t>Kreditno zaduživanje ugovoreno je za financiranje sljedećih kapitalnih projekata Grada:</w:t>
      </w:r>
    </w:p>
    <w:p w14:paraId="77BE7E9A" w14:textId="77777777" w:rsidR="002E00E2" w:rsidRPr="00C30A6F" w:rsidRDefault="002E00E2" w:rsidP="002E00E2">
      <w:pPr>
        <w:ind w:firstLine="708"/>
        <w:jc w:val="both"/>
        <w:rPr>
          <w:szCs w:val="20"/>
        </w:rPr>
      </w:pPr>
      <w:r w:rsidRPr="00C30A6F">
        <w:rPr>
          <w:szCs w:val="20"/>
        </w:rPr>
        <w:t>K108306</w:t>
      </w:r>
      <w:r w:rsidRPr="00C30A6F">
        <w:rPr>
          <w:szCs w:val="20"/>
        </w:rPr>
        <w:tab/>
        <w:t>Razvoj i unaprjeđenje osječke Tvrđe</w:t>
      </w:r>
    </w:p>
    <w:p w14:paraId="620BD653" w14:textId="77777777" w:rsidR="002E00E2" w:rsidRPr="00C30A6F" w:rsidRDefault="002E00E2" w:rsidP="002E00E2">
      <w:pPr>
        <w:ind w:firstLine="708"/>
        <w:jc w:val="both"/>
        <w:rPr>
          <w:szCs w:val="20"/>
        </w:rPr>
      </w:pPr>
      <w:r w:rsidRPr="00C30A6F">
        <w:rPr>
          <w:szCs w:val="20"/>
        </w:rPr>
        <w:t>K115603</w:t>
      </w:r>
      <w:r w:rsidRPr="00C30A6F">
        <w:rPr>
          <w:szCs w:val="20"/>
        </w:rPr>
        <w:tab/>
        <w:t>Izgradnja dječjeg vrtića u Tenji</w:t>
      </w:r>
    </w:p>
    <w:p w14:paraId="7B2A1C12" w14:textId="77777777" w:rsidR="002E00E2" w:rsidRPr="00C30A6F" w:rsidRDefault="002E00E2" w:rsidP="002E00E2">
      <w:pPr>
        <w:ind w:firstLine="708"/>
        <w:jc w:val="both"/>
        <w:rPr>
          <w:szCs w:val="20"/>
        </w:rPr>
      </w:pPr>
      <w:r w:rsidRPr="00C30A6F">
        <w:rPr>
          <w:szCs w:val="20"/>
        </w:rPr>
        <w:t>K115604</w:t>
      </w:r>
      <w:r w:rsidRPr="00C30A6F">
        <w:rPr>
          <w:szCs w:val="20"/>
        </w:rPr>
        <w:tab/>
        <w:t>Rekonstrukcija i dogradnja dječjeg vrtića Latica-Gornji grad</w:t>
      </w:r>
    </w:p>
    <w:p w14:paraId="1983CA4A" w14:textId="77777777" w:rsidR="002E00E2" w:rsidRPr="00C30A6F" w:rsidRDefault="002E00E2" w:rsidP="002E00E2">
      <w:pPr>
        <w:ind w:firstLine="708"/>
        <w:jc w:val="both"/>
        <w:rPr>
          <w:szCs w:val="20"/>
        </w:rPr>
      </w:pPr>
      <w:r w:rsidRPr="00C30A6F">
        <w:rPr>
          <w:szCs w:val="20"/>
        </w:rPr>
        <w:t>K115605</w:t>
      </w:r>
      <w:r w:rsidRPr="00C30A6F">
        <w:rPr>
          <w:szCs w:val="20"/>
        </w:rPr>
        <w:tab/>
        <w:t>Izgradnja DV Uske njive</w:t>
      </w:r>
    </w:p>
    <w:p w14:paraId="6FF43426" w14:textId="77777777" w:rsidR="002E00E2" w:rsidRPr="00C30A6F" w:rsidRDefault="002E00E2" w:rsidP="002E00E2">
      <w:pPr>
        <w:ind w:firstLine="708"/>
        <w:jc w:val="both"/>
        <w:rPr>
          <w:szCs w:val="20"/>
        </w:rPr>
      </w:pPr>
      <w:r w:rsidRPr="00C30A6F">
        <w:rPr>
          <w:szCs w:val="20"/>
        </w:rPr>
        <w:t>K115606</w:t>
      </w:r>
      <w:r w:rsidRPr="00C30A6F">
        <w:rPr>
          <w:szCs w:val="20"/>
        </w:rPr>
        <w:tab/>
        <w:t>Izgradnja DV Vijenac lipa-Cvjetno naselje</w:t>
      </w:r>
    </w:p>
    <w:p w14:paraId="068189A6" w14:textId="77777777" w:rsidR="002E00E2" w:rsidRPr="00C30A6F" w:rsidRDefault="002E00E2" w:rsidP="002E00E2">
      <w:pPr>
        <w:ind w:firstLine="708"/>
        <w:jc w:val="both"/>
        <w:rPr>
          <w:szCs w:val="20"/>
        </w:rPr>
      </w:pPr>
      <w:r w:rsidRPr="00C30A6F">
        <w:rPr>
          <w:szCs w:val="20"/>
        </w:rPr>
        <w:t>K115607</w:t>
      </w:r>
      <w:r w:rsidRPr="00C30A6F">
        <w:rPr>
          <w:szCs w:val="20"/>
        </w:rPr>
        <w:tab/>
        <w:t xml:space="preserve">Rekonstrukcija i dogradnja dječjeg vrtića </w:t>
      </w:r>
      <w:proofErr w:type="spellStart"/>
      <w:r w:rsidRPr="00C30A6F">
        <w:rPr>
          <w:szCs w:val="20"/>
        </w:rPr>
        <w:t>Sjenčica</w:t>
      </w:r>
      <w:proofErr w:type="spellEnd"/>
    </w:p>
    <w:p w14:paraId="328A51E3" w14:textId="77777777" w:rsidR="002E00E2" w:rsidRDefault="002E00E2" w:rsidP="002E00E2">
      <w:r>
        <w:t>Temeljem predmetnog zaduživanja nije izvršeno povlačenje kreditnih sredstava u 2022.</w:t>
      </w:r>
    </w:p>
    <w:p w14:paraId="2BE9DBF7" w14:textId="608E90DA" w:rsidR="002E00E2" w:rsidRDefault="002E00E2" w:rsidP="002E00E2">
      <w:r>
        <w:t xml:space="preserve">Pregled obveza po dugoročnim kreditima za investicije </w:t>
      </w:r>
      <w:r w:rsidR="00D91085">
        <w:t>dano</w:t>
      </w:r>
      <w:r>
        <w:t xml:space="preserve"> je u sljedećoj tablici:</w:t>
      </w:r>
    </w:p>
    <w:p w14:paraId="673613D8" w14:textId="62CF81CF" w:rsidR="002E00E2" w:rsidRPr="00E917D7" w:rsidRDefault="006C4CD3" w:rsidP="002E00E2">
      <w:pPr>
        <w:pStyle w:val="Tijeloteksta-uvlaka2"/>
        <w:spacing w:after="0" w:line="240" w:lineRule="auto"/>
        <w:ind w:left="0"/>
        <w:jc w:val="both"/>
      </w:pPr>
      <w:r>
        <w:rPr>
          <w:noProof/>
        </w:rPr>
        <w:lastRenderedPageBreak/>
        <w:drawing>
          <wp:inline distT="0" distB="0" distL="0" distR="0" wp14:anchorId="68C53DEE" wp14:editId="2D1A3E29">
            <wp:extent cx="5944235" cy="693801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693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42D5ED" w14:textId="77777777" w:rsidR="0063701F" w:rsidRDefault="0063701F" w:rsidP="0063701F">
      <w:pPr>
        <w:jc w:val="both"/>
      </w:pPr>
      <w:r>
        <w:tab/>
      </w:r>
    </w:p>
    <w:p w14:paraId="69B6F16D" w14:textId="0515AF95" w:rsidR="0063701F" w:rsidRDefault="0063701F" w:rsidP="0063701F">
      <w:pPr>
        <w:jc w:val="both"/>
      </w:pPr>
      <w:r>
        <w:tab/>
        <w:t>Obveze po financijskom leasingu za nabavu kombi vozila u iznosu 24.840,21 kn odnose se na OŠ Višnjevac.</w:t>
      </w:r>
    </w:p>
    <w:p w14:paraId="6834BBE6" w14:textId="63A0F8C9" w:rsidR="002E00E2" w:rsidRDefault="002E00E2" w:rsidP="002E00E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74F97">
        <w:rPr>
          <w:rFonts w:ascii="Times New Roman" w:hAnsi="Times New Roman" w:cs="Times New Roman"/>
        </w:rPr>
        <w:t>Obveze temeljem beskamatnog kredita Ministarstva financija (odgoda obveze povrata poreza i prireza na dohodak u 2020.) iznose 2.774.758,0</w:t>
      </w:r>
      <w:r w:rsidR="00D9186E">
        <w:rPr>
          <w:rFonts w:ascii="Times New Roman" w:hAnsi="Times New Roman" w:cs="Times New Roman"/>
        </w:rPr>
        <w:t>8</w:t>
      </w:r>
      <w:r w:rsidRPr="00974F97">
        <w:rPr>
          <w:rFonts w:ascii="Times New Roman" w:hAnsi="Times New Roman" w:cs="Times New Roman"/>
        </w:rPr>
        <w:t xml:space="preserve"> kn.</w:t>
      </w:r>
    </w:p>
    <w:p w14:paraId="4A1964A9" w14:textId="77777777" w:rsidR="002E00E2" w:rsidRPr="00E917D7" w:rsidRDefault="002E00E2" w:rsidP="002E00E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Tijekom</w:t>
      </w:r>
      <w:r w:rsidRPr="00E917D7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2</w:t>
      </w:r>
      <w:r w:rsidRPr="00E917D7">
        <w:rPr>
          <w:rFonts w:ascii="Times New Roman" w:hAnsi="Times New Roman" w:cs="Times New Roman"/>
        </w:rPr>
        <w:t>. Grad Osijek nije se kratkoročno zaduživao kod poslovnih banaka.</w:t>
      </w:r>
    </w:p>
    <w:p w14:paraId="29ADE042" w14:textId="77777777" w:rsidR="002E00E2" w:rsidRPr="00E917D7" w:rsidRDefault="002E00E2" w:rsidP="002E00E2">
      <w:pPr>
        <w:pStyle w:val="Tijeloteksta-uvlaka2"/>
        <w:spacing w:after="0" w:line="240" w:lineRule="auto"/>
        <w:ind w:left="0"/>
        <w:jc w:val="both"/>
      </w:pPr>
    </w:p>
    <w:p w14:paraId="0E8107B7" w14:textId="3E4C5828" w:rsidR="000F7EBB" w:rsidRPr="006A4453" w:rsidRDefault="000F7EBB" w:rsidP="000F7EBB">
      <w:pPr>
        <w:ind w:firstLine="708"/>
        <w:jc w:val="both"/>
      </w:pPr>
      <w:r w:rsidRPr="009371F5">
        <w:lastRenderedPageBreak/>
        <w:t>U</w:t>
      </w:r>
      <w:r w:rsidRPr="006A4453">
        <w:t xml:space="preserve"> </w:t>
      </w:r>
      <w:r w:rsidRPr="009371F5">
        <w:t>okviru</w:t>
      </w:r>
      <w:r w:rsidRPr="006A4453">
        <w:t xml:space="preserve"> </w:t>
      </w:r>
      <w:r w:rsidRPr="009371F5">
        <w:t>konta</w:t>
      </w:r>
      <w:r w:rsidRPr="006A4453">
        <w:t xml:space="preserve"> 29-</w:t>
      </w:r>
      <w:r w:rsidRPr="009371F5">
        <w:t>Unaprijed</w:t>
      </w:r>
      <w:r w:rsidRPr="006A4453">
        <w:t xml:space="preserve"> </w:t>
      </w:r>
      <w:r w:rsidRPr="009371F5">
        <w:t>napla</w:t>
      </w:r>
      <w:r w:rsidRPr="006A4453">
        <w:t>ć</w:t>
      </w:r>
      <w:r w:rsidRPr="009371F5">
        <w:t>eni</w:t>
      </w:r>
      <w:r w:rsidRPr="006A4453">
        <w:t xml:space="preserve"> </w:t>
      </w:r>
      <w:r w:rsidRPr="009371F5">
        <w:t>prihodi</w:t>
      </w:r>
      <w:r w:rsidRPr="006A4453">
        <w:t xml:space="preserve"> iskazani su unaprijed naplaćeni prihodi </w:t>
      </w:r>
      <w:r w:rsidR="002E7A46">
        <w:t xml:space="preserve">Grada Osijeka </w:t>
      </w:r>
      <w:r w:rsidRPr="006A4453">
        <w:t>iz ranijih godina u svoti od 4.987.</w:t>
      </w:r>
      <w:r w:rsidR="00D91085" w:rsidRPr="006A4453">
        <w:t>2</w:t>
      </w:r>
      <w:r w:rsidR="00D91085">
        <w:t>39,87</w:t>
      </w:r>
      <w:r w:rsidRPr="006A4453">
        <w:t xml:space="preserve"> od privatnog poduzetnika (budući komunalni doprinos) korištena za financiranje izgradnje ceste.</w:t>
      </w:r>
      <w:r w:rsidR="002E7A46">
        <w:t xml:space="preserve"> Unaprijed naplaćeni prihodi proračunskih korisnika iznose </w:t>
      </w:r>
      <w:r w:rsidR="00E27F80">
        <w:t>1.</w:t>
      </w:r>
      <w:r w:rsidR="00D91085">
        <w:t>860.998,02</w:t>
      </w:r>
      <w:r w:rsidR="00E27F80">
        <w:t xml:space="preserve"> kn.</w:t>
      </w:r>
    </w:p>
    <w:p w14:paraId="0711B2C1" w14:textId="77777777" w:rsidR="000F7EBB" w:rsidRDefault="000F7EBB" w:rsidP="000F7EBB">
      <w:pPr>
        <w:jc w:val="both"/>
        <w:rPr>
          <w:b/>
          <w:sz w:val="28"/>
          <w:szCs w:val="28"/>
          <w:highlight w:val="yellow"/>
          <w:u w:val="single"/>
        </w:rPr>
      </w:pPr>
    </w:p>
    <w:p w14:paraId="4D033D3A" w14:textId="20C13613" w:rsidR="000F7EBB" w:rsidRDefault="000F7EBB" w:rsidP="000F7EBB">
      <w:pPr>
        <w:jc w:val="both"/>
        <w:rPr>
          <w:b/>
          <w:sz w:val="28"/>
          <w:szCs w:val="28"/>
          <w:highlight w:val="yellow"/>
          <w:u w:val="single"/>
        </w:rPr>
      </w:pPr>
    </w:p>
    <w:p w14:paraId="1B752AD5" w14:textId="77777777" w:rsidR="002E00E2" w:rsidRDefault="002E00E2" w:rsidP="002E00E2">
      <w:pPr>
        <w:jc w:val="both"/>
        <w:rPr>
          <w:b/>
          <w:u w:val="single"/>
        </w:rPr>
      </w:pPr>
      <w:r w:rsidRPr="0064159C">
        <w:rPr>
          <w:b/>
          <w:u w:val="single"/>
        </w:rPr>
        <w:t>Vlastiti izvori</w:t>
      </w:r>
    </w:p>
    <w:p w14:paraId="78F8E69F" w14:textId="77777777" w:rsidR="002E00E2" w:rsidRPr="0064159C" w:rsidRDefault="002E00E2" w:rsidP="002E00E2">
      <w:pPr>
        <w:jc w:val="both"/>
        <w:rPr>
          <w:b/>
          <w:u w:val="single"/>
        </w:rPr>
      </w:pPr>
    </w:p>
    <w:p w14:paraId="7FB45945" w14:textId="4CC07B74" w:rsidR="002E00E2" w:rsidRPr="00E917D7" w:rsidRDefault="002E00E2" w:rsidP="002E00E2">
      <w:pPr>
        <w:jc w:val="both"/>
      </w:pPr>
      <w:r w:rsidRPr="008353B4">
        <w:rPr>
          <w:b/>
        </w:rPr>
        <w:t xml:space="preserve">9 </w:t>
      </w:r>
      <w:r w:rsidRPr="008353B4">
        <w:t xml:space="preserve">– Vlastiti izvori veći su </w:t>
      </w:r>
      <w:r w:rsidRPr="00345D70">
        <w:t>za 92.055.709,54</w:t>
      </w:r>
      <w:r w:rsidRPr="008353B4">
        <w:t xml:space="preserve"> kn </w:t>
      </w:r>
      <w:r w:rsidR="00D91085">
        <w:t>odnosi na Grad Osijek.</w:t>
      </w:r>
      <w:r w:rsidRPr="008353B4">
        <w:t xml:space="preserve"> Navedene promjene bilančnih pozicija </w:t>
      </w:r>
      <w:r w:rsidRPr="00E917D7">
        <w:t xml:space="preserve">koje nisu rezultat financijskih transakcija razvidne su iz obrasca P-VRIO i detaljnije obrazložene u bilješkama uz obrazac P-VRIO. </w:t>
      </w:r>
    </w:p>
    <w:p w14:paraId="44D1A17B" w14:textId="77777777" w:rsidR="002E00E2" w:rsidRPr="00E917D7" w:rsidRDefault="002E00E2" w:rsidP="002E00E2">
      <w:pPr>
        <w:jc w:val="both"/>
      </w:pPr>
      <w:r w:rsidRPr="00E917D7">
        <w:t>Odlukom o raspodjeli rezultata usvojenom od strane Gradskog vijeća Grada Osijeka pri usvajanju Godišnjeg obračuna proračuna Grada Osijeka za</w:t>
      </w:r>
      <w:r>
        <w:t xml:space="preserve"> 2021</w:t>
      </w:r>
      <w:r w:rsidRPr="00E917D7">
        <w:t>., ostvareni višak prihoda i primitaka korišten je za pokriće ostvarenih manjkova od nefinancijske imovine.</w:t>
      </w:r>
    </w:p>
    <w:p w14:paraId="392CB770" w14:textId="61FD0B86" w:rsidR="002E00E2" w:rsidRPr="00615AE2" w:rsidRDefault="002E00E2" w:rsidP="00615AE2">
      <w:pPr>
        <w:pStyle w:val="Uvuenotijeloteksta"/>
        <w:ind w:left="0"/>
        <w:jc w:val="both"/>
      </w:pPr>
      <w:r>
        <w:t>U 2022</w:t>
      </w:r>
      <w:r w:rsidRPr="00E917D7">
        <w:t>.</w:t>
      </w:r>
      <w:r>
        <w:t xml:space="preserve"> ostvaren je ukupni </w:t>
      </w:r>
      <w:r w:rsidRPr="00E917D7">
        <w:t xml:space="preserve">višak prihoda i primitaka  nad rashodima i izdacima u iznosu od </w:t>
      </w:r>
      <w:r>
        <w:t>42</w:t>
      </w:r>
      <w:r w:rsidRPr="00E917D7">
        <w:t>.</w:t>
      </w:r>
      <w:r>
        <w:t>453</w:t>
      </w:r>
      <w:r w:rsidRPr="00E917D7">
        <w:t>.</w:t>
      </w:r>
      <w:r>
        <w:t>784,97</w:t>
      </w:r>
      <w:r w:rsidRPr="00E917D7">
        <w:t xml:space="preserve"> kn. Preneseni višak prihoda iz 202</w:t>
      </w:r>
      <w:r>
        <w:t>1. iznosi 34.496.007,71 kn, što ukupno čini višak prihoda i primitaka u iznosu 76.949.792,58 kn.</w:t>
      </w:r>
      <w:r w:rsidR="00615AE2">
        <w:t xml:space="preserve"> </w:t>
      </w:r>
      <w:r w:rsidRPr="00615AE2">
        <w:t>Ostvareni viškovi/manjkovi korigirani su sukladno uputama Ministarstva financija.</w:t>
      </w:r>
    </w:p>
    <w:tbl>
      <w:tblPr>
        <w:tblW w:w="9296" w:type="dxa"/>
        <w:tblInd w:w="108" w:type="dxa"/>
        <w:tblLook w:val="04A0" w:firstRow="1" w:lastRow="0" w:firstColumn="1" w:lastColumn="0" w:noHBand="0" w:noVBand="1"/>
      </w:tblPr>
      <w:tblGrid>
        <w:gridCol w:w="7682"/>
        <w:gridCol w:w="1614"/>
      </w:tblGrid>
      <w:tr w:rsidR="00D91085" w:rsidRPr="0098305F" w14:paraId="0F88B089" w14:textId="77777777" w:rsidTr="00D91085">
        <w:trPr>
          <w:trHeight w:val="300"/>
        </w:trPr>
        <w:tc>
          <w:tcPr>
            <w:tcW w:w="7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47248" w14:textId="77777777" w:rsidR="00D91085" w:rsidRPr="00D91085" w:rsidRDefault="00D91085" w:rsidP="00D83041">
            <w:pPr>
              <w:ind w:firstLine="708"/>
              <w:jc w:val="both"/>
              <w:rPr>
                <w:bCs/>
              </w:rPr>
            </w:pPr>
            <w:r w:rsidRPr="00D91085">
              <w:rPr>
                <w:bCs/>
              </w:rPr>
              <w:t>Struktura viška/manjka Grada Osijeka i proračunskih korisnika je sljedeća:</w:t>
            </w:r>
          </w:p>
          <w:tbl>
            <w:tblPr>
              <w:tblW w:w="7762" w:type="dxa"/>
              <w:tblInd w:w="108" w:type="dxa"/>
              <w:tblLook w:val="04A0" w:firstRow="1" w:lastRow="0" w:firstColumn="1" w:lastColumn="0" w:noHBand="0" w:noVBand="1"/>
            </w:tblPr>
            <w:tblGrid>
              <w:gridCol w:w="5556"/>
              <w:gridCol w:w="1802"/>
            </w:tblGrid>
            <w:tr w:rsidR="00D91085" w:rsidRPr="003048F2" w14:paraId="2C2FC170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31133E" w14:textId="77777777" w:rsidR="00D91085" w:rsidRPr="003048F2" w:rsidRDefault="00D91085" w:rsidP="00D83041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BBF842" w14:textId="77777777" w:rsidR="00D91085" w:rsidRPr="003048F2" w:rsidRDefault="00D91085" w:rsidP="00D9108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3048F2">
                    <w:rPr>
                      <w:b/>
                      <w:bCs/>
                      <w:color w:val="000000"/>
                    </w:rPr>
                    <w:t>31.12.202</w:t>
                  </w:r>
                  <w:r>
                    <w:rPr>
                      <w:b/>
                      <w:bCs/>
                      <w:color w:val="000000"/>
                    </w:rPr>
                    <w:t>2</w:t>
                  </w:r>
                  <w:r w:rsidRPr="003048F2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</w:tr>
            <w:tr w:rsidR="00D91085" w:rsidRPr="0016296C" w14:paraId="18557988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1CA7C6" w14:textId="77777777" w:rsidR="00D91085" w:rsidRPr="0016296C" w:rsidRDefault="00D91085" w:rsidP="00D83041">
                  <w:r w:rsidRPr="0016296C">
                    <w:t>GRAD OSIJEK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D38B6" w14:textId="77777777" w:rsidR="00D91085" w:rsidRPr="0016296C" w:rsidRDefault="00D91085" w:rsidP="00D91085">
                  <w:pPr>
                    <w:jc w:val="right"/>
                  </w:pPr>
                  <w:r w:rsidRPr="0016296C">
                    <w:t>76.949.792,58</w:t>
                  </w:r>
                </w:p>
              </w:tc>
            </w:tr>
            <w:tr w:rsidR="00D91085" w:rsidRPr="0016296C" w14:paraId="35C18FA5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2420F6" w14:textId="77777777" w:rsidR="00D91085" w:rsidRPr="0016296C" w:rsidRDefault="00D91085" w:rsidP="00D83041">
                  <w:r w:rsidRPr="0016296C">
                    <w:t>AGENCIJA ZA OBNOVU OSJEČKE TVRĐE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114CF1" w14:textId="77777777" w:rsidR="00D91085" w:rsidRPr="0016296C" w:rsidRDefault="00D91085" w:rsidP="00D91085">
                  <w:pPr>
                    <w:jc w:val="right"/>
                  </w:pPr>
                  <w:r w:rsidRPr="0016296C">
                    <w:t>1.006.134,81</w:t>
                  </w:r>
                </w:p>
              </w:tc>
            </w:tr>
            <w:tr w:rsidR="00D91085" w:rsidRPr="0016296C" w14:paraId="249F926B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B07B77" w14:textId="77777777" w:rsidR="00D91085" w:rsidRPr="0016296C" w:rsidRDefault="00D91085" w:rsidP="00D83041">
                  <w:r w:rsidRPr="0016296C">
                    <w:t>CANTAR IVAN ŠTARK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7D6BDB" w14:textId="77777777" w:rsidR="00D91085" w:rsidRPr="0016296C" w:rsidRDefault="00D91085" w:rsidP="00D91085">
                  <w:pPr>
                    <w:jc w:val="right"/>
                  </w:pPr>
                  <w:r w:rsidRPr="0016296C">
                    <w:t xml:space="preserve">    815.202,12</w:t>
                  </w:r>
                </w:p>
              </w:tc>
            </w:tr>
            <w:tr w:rsidR="00D91085" w:rsidRPr="0016296C" w14:paraId="6C622549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C0CEE4" w14:textId="77777777" w:rsidR="00D91085" w:rsidRPr="0016296C" w:rsidRDefault="00D91085" w:rsidP="00D83041">
                  <w:r w:rsidRPr="0016296C">
                    <w:t>JVP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CDC743" w14:textId="77777777" w:rsidR="00D91085" w:rsidRPr="0016296C" w:rsidRDefault="00D91085" w:rsidP="00D91085">
                  <w:pPr>
                    <w:jc w:val="right"/>
                  </w:pPr>
                  <w:r w:rsidRPr="0016296C">
                    <w:t xml:space="preserve">   1.104.559,10</w:t>
                  </w:r>
                </w:p>
              </w:tc>
            </w:tr>
            <w:tr w:rsidR="00D91085" w:rsidRPr="0016296C" w14:paraId="008A7C7B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3D5A75" w14:textId="77777777" w:rsidR="00D91085" w:rsidRPr="0016296C" w:rsidRDefault="00D91085" w:rsidP="00D83041">
                  <w:r w:rsidRPr="0016296C">
                    <w:t>OŠ VLADIMIR BECIĆ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C3F493" w14:textId="77777777" w:rsidR="00D91085" w:rsidRPr="0016296C" w:rsidRDefault="00D91085" w:rsidP="00D91085">
                  <w:pPr>
                    <w:jc w:val="right"/>
                  </w:pPr>
                  <w:r w:rsidRPr="0016296C">
                    <w:t xml:space="preserve">   207.772,93</w:t>
                  </w:r>
                </w:p>
              </w:tc>
            </w:tr>
            <w:tr w:rsidR="00D91085" w:rsidRPr="0016296C" w14:paraId="4933A98D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D61C53" w14:textId="77777777" w:rsidR="00D91085" w:rsidRPr="0016296C" w:rsidRDefault="00D91085" w:rsidP="00D83041">
                  <w:r w:rsidRPr="0016296C">
                    <w:t>OŠ FRANJE KREŽME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098B59" w14:textId="77777777" w:rsidR="00D91085" w:rsidRPr="0016296C" w:rsidRDefault="00D91085" w:rsidP="00D91085">
                  <w:pPr>
                    <w:jc w:val="right"/>
                  </w:pPr>
                  <w:r w:rsidRPr="0016296C">
                    <w:t xml:space="preserve">  129.807,91</w:t>
                  </w:r>
                </w:p>
              </w:tc>
            </w:tr>
            <w:tr w:rsidR="00D91085" w:rsidRPr="0016296C" w14:paraId="1EF28841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FC665B" w14:textId="77777777" w:rsidR="00D91085" w:rsidRPr="0016296C" w:rsidRDefault="00D91085" w:rsidP="00D83041">
                  <w:r w:rsidRPr="0016296C">
                    <w:t>OŠ VIŠNJEVAC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EF8C9F" w14:textId="77777777" w:rsidR="00D91085" w:rsidRPr="0016296C" w:rsidRDefault="00D91085" w:rsidP="00D91085">
                  <w:pPr>
                    <w:jc w:val="right"/>
                  </w:pPr>
                  <w:r w:rsidRPr="0016296C">
                    <w:t xml:space="preserve">  347.631,63</w:t>
                  </w:r>
                </w:p>
              </w:tc>
            </w:tr>
            <w:tr w:rsidR="00D91085" w:rsidRPr="0016296C" w14:paraId="52FA97F5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61ECF2" w14:textId="77777777" w:rsidR="00D91085" w:rsidRPr="0016296C" w:rsidRDefault="00D91085" w:rsidP="00D83041">
                  <w:r w:rsidRPr="0016296C">
                    <w:t>OŠ RETFALA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CBD6C2" w14:textId="77777777" w:rsidR="00D91085" w:rsidRPr="0016296C" w:rsidRDefault="00D91085" w:rsidP="00D91085">
                  <w:pPr>
                    <w:jc w:val="right"/>
                  </w:pPr>
                  <w:r w:rsidRPr="0016296C">
                    <w:t xml:space="preserve">  88.821,84</w:t>
                  </w:r>
                </w:p>
              </w:tc>
            </w:tr>
            <w:tr w:rsidR="00D91085" w:rsidRPr="0016296C" w14:paraId="4EDC1581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A476C8" w14:textId="77777777" w:rsidR="00D91085" w:rsidRPr="0016296C" w:rsidRDefault="00D91085" w:rsidP="00D83041">
                  <w:r w:rsidRPr="0016296C">
                    <w:t>OŠ TIN UJEVIĆ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6DBC43" w14:textId="77777777" w:rsidR="00D91085" w:rsidRPr="0016296C" w:rsidRDefault="00D91085" w:rsidP="00D91085">
                  <w:pPr>
                    <w:jc w:val="right"/>
                  </w:pPr>
                  <w:r w:rsidRPr="0016296C">
                    <w:t xml:space="preserve">  167.607,59</w:t>
                  </w:r>
                </w:p>
              </w:tc>
            </w:tr>
            <w:tr w:rsidR="00D91085" w:rsidRPr="0016296C" w14:paraId="2DE89464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31D46C" w14:textId="77777777" w:rsidR="00D91085" w:rsidRPr="0016296C" w:rsidRDefault="00D91085" w:rsidP="00D83041">
                  <w:r w:rsidRPr="0016296C">
                    <w:t>OŠ IVAN FILIPOVIĆ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AF15EA" w14:textId="77777777" w:rsidR="00D91085" w:rsidRPr="0016296C" w:rsidRDefault="00D91085" w:rsidP="00D91085">
                  <w:pPr>
                    <w:jc w:val="right"/>
                  </w:pPr>
                  <w:r w:rsidRPr="0016296C">
                    <w:t xml:space="preserve">  184.541,94</w:t>
                  </w:r>
                </w:p>
              </w:tc>
            </w:tr>
            <w:tr w:rsidR="00D91085" w:rsidRPr="0016296C" w14:paraId="50D035F4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9186C3" w14:textId="77777777" w:rsidR="00D91085" w:rsidRPr="0016296C" w:rsidRDefault="00D91085" w:rsidP="00D83041">
                  <w:r w:rsidRPr="0016296C">
                    <w:t>OŠ GRIGOR VITEZ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EBB6CA" w14:textId="77777777" w:rsidR="00D91085" w:rsidRPr="0016296C" w:rsidRDefault="00D91085" w:rsidP="00D91085">
                  <w:pPr>
                    <w:jc w:val="right"/>
                  </w:pPr>
                  <w:r w:rsidRPr="0016296C">
                    <w:t xml:space="preserve">  59.761,99</w:t>
                  </w:r>
                </w:p>
              </w:tc>
            </w:tr>
            <w:tr w:rsidR="00D91085" w:rsidRPr="0016296C" w14:paraId="7C23920B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B2B1EC" w14:textId="77777777" w:rsidR="00D91085" w:rsidRPr="0016296C" w:rsidRDefault="00D91085" w:rsidP="00D83041">
                  <w:r w:rsidRPr="0016296C">
                    <w:t>OŠ AUGUST ŠENOA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60943D" w14:textId="77777777" w:rsidR="00D91085" w:rsidRPr="0016296C" w:rsidRDefault="00D91085" w:rsidP="00D91085">
                  <w:pPr>
                    <w:jc w:val="right"/>
                  </w:pPr>
                  <w:r w:rsidRPr="0016296C">
                    <w:t xml:space="preserve">  252.849,35</w:t>
                  </w:r>
                </w:p>
              </w:tc>
            </w:tr>
            <w:tr w:rsidR="00D91085" w:rsidRPr="0016296C" w14:paraId="59AD43A5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A69E70" w14:textId="77777777" w:rsidR="00D91085" w:rsidRPr="0016296C" w:rsidRDefault="00D91085" w:rsidP="00D83041">
                  <w:r w:rsidRPr="0016296C">
                    <w:t>OŠ TENJA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192500" w14:textId="77777777" w:rsidR="00D91085" w:rsidRPr="0016296C" w:rsidRDefault="00D91085" w:rsidP="00D91085">
                  <w:pPr>
                    <w:jc w:val="right"/>
                  </w:pPr>
                  <w:r w:rsidRPr="0016296C">
                    <w:t xml:space="preserve">  223.671,49</w:t>
                  </w:r>
                </w:p>
              </w:tc>
            </w:tr>
            <w:tr w:rsidR="00D91085" w:rsidRPr="0016296C" w14:paraId="7F9E9655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08F831" w14:textId="77777777" w:rsidR="00D91085" w:rsidRPr="0016296C" w:rsidRDefault="00D91085" w:rsidP="00D83041">
                  <w:r w:rsidRPr="0016296C">
                    <w:t>OŠ LJUDEVIT GAJ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26552D" w14:textId="77777777" w:rsidR="00D91085" w:rsidRPr="0016296C" w:rsidRDefault="00D91085" w:rsidP="00D91085">
                  <w:pPr>
                    <w:jc w:val="right"/>
                  </w:pPr>
                  <w:r w:rsidRPr="0016296C">
                    <w:t xml:space="preserve">  39.346,42</w:t>
                  </w:r>
                </w:p>
              </w:tc>
            </w:tr>
            <w:tr w:rsidR="00D91085" w:rsidRPr="0016296C" w14:paraId="487BD849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FA25CE" w14:textId="77777777" w:rsidR="00D91085" w:rsidRPr="0016296C" w:rsidRDefault="00D91085" w:rsidP="00D83041">
                  <w:r w:rsidRPr="0016296C">
                    <w:t>OŠ MLADOST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890B1A" w14:textId="77777777" w:rsidR="00D91085" w:rsidRPr="0016296C" w:rsidRDefault="00D91085" w:rsidP="00D91085">
                  <w:pPr>
                    <w:jc w:val="right"/>
                  </w:pPr>
                  <w:r w:rsidRPr="0016296C">
                    <w:t xml:space="preserve">  212.165,29</w:t>
                  </w:r>
                </w:p>
              </w:tc>
            </w:tr>
            <w:tr w:rsidR="00D91085" w:rsidRPr="0016296C" w14:paraId="549417B6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255264" w14:textId="77777777" w:rsidR="00D91085" w:rsidRPr="0016296C" w:rsidRDefault="00D91085" w:rsidP="00D83041">
                  <w:r w:rsidRPr="0016296C">
                    <w:t>OŠ ANTUNA MIHANOVIĆA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D6B96A" w14:textId="77777777" w:rsidR="00D91085" w:rsidRPr="0016296C" w:rsidRDefault="00D91085" w:rsidP="00D91085">
                  <w:pPr>
                    <w:jc w:val="right"/>
                  </w:pPr>
                  <w:r w:rsidRPr="0016296C">
                    <w:t xml:space="preserve">   46.262,35</w:t>
                  </w:r>
                </w:p>
              </w:tc>
            </w:tr>
            <w:tr w:rsidR="00D91085" w:rsidRPr="0016296C" w14:paraId="30E04C0C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5E72DD" w14:textId="77777777" w:rsidR="00D91085" w:rsidRPr="0016296C" w:rsidRDefault="00D91085" w:rsidP="00D83041">
                  <w:r w:rsidRPr="0016296C">
                    <w:t>OŠ DOBRIŠE CESARIĆA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6968A4" w14:textId="77777777" w:rsidR="00D91085" w:rsidRPr="0016296C" w:rsidRDefault="00D91085" w:rsidP="00D91085">
                  <w:pPr>
                    <w:jc w:val="right"/>
                  </w:pPr>
                  <w:r w:rsidRPr="0016296C">
                    <w:t xml:space="preserve">  18.574,13</w:t>
                  </w:r>
                </w:p>
              </w:tc>
            </w:tr>
            <w:tr w:rsidR="00D91085" w:rsidRPr="0016296C" w14:paraId="63817BEC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D2347D" w14:textId="77777777" w:rsidR="00D91085" w:rsidRPr="0016296C" w:rsidRDefault="00D91085" w:rsidP="00D83041">
                  <w:r w:rsidRPr="0016296C">
                    <w:t>OŠ JOSIPOVAC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3467DE" w14:textId="77777777" w:rsidR="00D91085" w:rsidRPr="0016296C" w:rsidRDefault="00D91085" w:rsidP="00D91085">
                  <w:pPr>
                    <w:jc w:val="right"/>
                  </w:pPr>
                  <w:r w:rsidRPr="0016296C">
                    <w:t xml:space="preserve">  11.261,04</w:t>
                  </w:r>
                </w:p>
              </w:tc>
            </w:tr>
            <w:tr w:rsidR="00D91085" w:rsidRPr="0016296C" w14:paraId="5430DE57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7C097D" w14:textId="77777777" w:rsidR="00D91085" w:rsidRPr="0016296C" w:rsidRDefault="00D91085" w:rsidP="00D83041">
                  <w:r w:rsidRPr="0016296C">
                    <w:t>OŠ CVJETNO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84EACF" w14:textId="77777777" w:rsidR="00D91085" w:rsidRPr="0016296C" w:rsidRDefault="00D91085" w:rsidP="00D91085">
                  <w:pPr>
                    <w:jc w:val="right"/>
                  </w:pPr>
                  <w:r w:rsidRPr="0016296C">
                    <w:t xml:space="preserve">  22.279,66</w:t>
                  </w:r>
                </w:p>
              </w:tc>
            </w:tr>
            <w:tr w:rsidR="00D91085" w:rsidRPr="0016296C" w14:paraId="27742993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CE92F5" w14:textId="77777777" w:rsidR="00D91085" w:rsidRPr="0016296C" w:rsidRDefault="00D91085" w:rsidP="00D83041">
                  <w:r w:rsidRPr="0016296C">
                    <w:t>OŠ JAGODE TRUHELKE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E8BBAA" w14:textId="77777777" w:rsidR="00D91085" w:rsidRPr="0016296C" w:rsidRDefault="00D91085" w:rsidP="00D91085">
                  <w:pPr>
                    <w:jc w:val="right"/>
                  </w:pPr>
                  <w:r w:rsidRPr="0016296C">
                    <w:t xml:space="preserve">  167.399,16</w:t>
                  </w:r>
                </w:p>
              </w:tc>
            </w:tr>
            <w:tr w:rsidR="00D91085" w:rsidRPr="0016296C" w14:paraId="32046CDE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6BA473" w14:textId="77777777" w:rsidR="00D91085" w:rsidRPr="0016296C" w:rsidRDefault="00D91085" w:rsidP="00D83041">
                  <w:r w:rsidRPr="0016296C">
                    <w:t>OŠ VIJENAC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90A485" w14:textId="77777777" w:rsidR="00D91085" w:rsidRPr="0016296C" w:rsidRDefault="00D91085" w:rsidP="00D91085">
                  <w:pPr>
                    <w:jc w:val="right"/>
                  </w:pPr>
                  <w:r w:rsidRPr="0016296C">
                    <w:t xml:space="preserve">  23.104,84</w:t>
                  </w:r>
                </w:p>
              </w:tc>
            </w:tr>
            <w:tr w:rsidR="00D91085" w:rsidRPr="0016296C" w14:paraId="4940F987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D13F83" w14:textId="77777777" w:rsidR="00D91085" w:rsidRPr="0016296C" w:rsidRDefault="00D91085" w:rsidP="00D83041">
                  <w:r w:rsidRPr="0016296C">
                    <w:t>HNK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7E6DA3" w14:textId="77777777" w:rsidR="00D91085" w:rsidRPr="0016296C" w:rsidRDefault="00D91085" w:rsidP="00D91085">
                  <w:pPr>
                    <w:jc w:val="right"/>
                  </w:pPr>
                  <w:r w:rsidRPr="0016296C">
                    <w:t>663.325,15</w:t>
                  </w:r>
                </w:p>
              </w:tc>
            </w:tr>
            <w:tr w:rsidR="00D91085" w:rsidRPr="0016296C" w14:paraId="16A77AB5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B19EDC" w14:textId="77777777" w:rsidR="00D91085" w:rsidRPr="0016296C" w:rsidRDefault="00D91085" w:rsidP="00D83041">
                  <w:r w:rsidRPr="0016296C">
                    <w:t>DJEČJE KAZALIŠTE BRANKA MIHALJEVIĆA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285090" w14:textId="77777777" w:rsidR="00D91085" w:rsidRPr="0016296C" w:rsidRDefault="00D91085" w:rsidP="00D91085">
                  <w:pPr>
                    <w:jc w:val="right"/>
                  </w:pPr>
                  <w:r w:rsidRPr="0016296C">
                    <w:t>67.051,28</w:t>
                  </w:r>
                </w:p>
              </w:tc>
            </w:tr>
            <w:tr w:rsidR="00D91085" w:rsidRPr="0016296C" w14:paraId="586FC109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1B35CA" w14:textId="77777777" w:rsidR="00D91085" w:rsidRPr="0016296C" w:rsidRDefault="00D91085" w:rsidP="00D83041">
                  <w:r w:rsidRPr="0016296C">
                    <w:lastRenderedPageBreak/>
                    <w:t>DJEČJI VRTIĆ OSIJEK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EB5D86" w14:textId="77777777" w:rsidR="00D91085" w:rsidRPr="0016296C" w:rsidRDefault="00D91085" w:rsidP="00D91085">
                  <w:pPr>
                    <w:jc w:val="right"/>
                  </w:pPr>
                  <w:r w:rsidRPr="0016296C">
                    <w:t>898.446,88</w:t>
                  </w:r>
                </w:p>
              </w:tc>
            </w:tr>
            <w:tr w:rsidR="00D91085" w:rsidRPr="0016296C" w14:paraId="793682F2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4D4A90" w14:textId="77777777" w:rsidR="00D91085" w:rsidRPr="0016296C" w:rsidRDefault="00D91085" w:rsidP="00D83041">
                  <w:r w:rsidRPr="0016296C">
                    <w:t>PKC MAĐARA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325D69" w14:textId="77777777" w:rsidR="00D91085" w:rsidRPr="0016296C" w:rsidRDefault="00D91085" w:rsidP="00D91085">
                  <w:pPr>
                    <w:jc w:val="right"/>
                  </w:pPr>
                  <w:r w:rsidRPr="0016296C">
                    <w:t>317.646,10</w:t>
                  </w:r>
                </w:p>
              </w:tc>
            </w:tr>
            <w:tr w:rsidR="00D91085" w:rsidRPr="0016296C" w14:paraId="6585A19C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4A7D38" w14:textId="77777777" w:rsidR="00D91085" w:rsidRPr="0016296C" w:rsidRDefault="00D91085" w:rsidP="00D83041">
                  <w:r w:rsidRPr="0016296C">
                    <w:t>OŠ FRANKOPAN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B29833" w14:textId="77777777" w:rsidR="00D91085" w:rsidRPr="0016296C" w:rsidRDefault="00D91085" w:rsidP="00D91085">
                  <w:pPr>
                    <w:jc w:val="right"/>
                  </w:pPr>
                  <w:r w:rsidRPr="0016296C">
                    <w:t xml:space="preserve">    3.319,47</w:t>
                  </w:r>
                </w:p>
              </w:tc>
            </w:tr>
            <w:tr w:rsidR="00D91085" w:rsidRPr="0016296C" w14:paraId="6E2A7344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95C9A5" w14:textId="77777777" w:rsidR="00D91085" w:rsidRPr="0016296C" w:rsidRDefault="00D91085" w:rsidP="00D83041">
                  <w:r w:rsidRPr="0016296C">
                    <w:t>GRADSKE GALERIJE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658EF7" w14:textId="77777777" w:rsidR="00D91085" w:rsidRPr="0016296C" w:rsidRDefault="00D91085" w:rsidP="00D91085">
                  <w:pPr>
                    <w:jc w:val="right"/>
                  </w:pPr>
                  <w:r w:rsidRPr="0016296C">
                    <w:t>10.718,29</w:t>
                  </w:r>
                </w:p>
              </w:tc>
            </w:tr>
            <w:tr w:rsidR="00D91085" w:rsidRPr="0016296C" w14:paraId="33760C75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94FA3A" w14:textId="77777777" w:rsidR="00D91085" w:rsidRPr="0016296C" w:rsidRDefault="00D91085" w:rsidP="00D83041">
                  <w:pPr>
                    <w:rPr>
                      <w:b/>
                      <w:bCs/>
                    </w:rPr>
                  </w:pPr>
                  <w:r w:rsidRPr="0016296C">
                    <w:rPr>
                      <w:b/>
                      <w:bCs/>
                    </w:rPr>
                    <w:t>Višak raspoloživ u sljedećem razdoblju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506D19" w14:textId="77777777" w:rsidR="00D91085" w:rsidRPr="0016296C" w:rsidRDefault="00D91085" w:rsidP="00D91085">
                  <w:pPr>
                    <w:jc w:val="right"/>
                    <w:rPr>
                      <w:b/>
                      <w:bCs/>
                    </w:rPr>
                  </w:pPr>
                  <w:r w:rsidRPr="0016296C">
                    <w:rPr>
                      <w:b/>
                      <w:bCs/>
                    </w:rPr>
                    <w:t>84.039.055,3</w:t>
                  </w:r>
                  <w:r>
                    <w:rPr>
                      <w:b/>
                      <w:bCs/>
                    </w:rPr>
                    <w:t>4</w:t>
                  </w:r>
                </w:p>
              </w:tc>
            </w:tr>
            <w:tr w:rsidR="00D91085" w:rsidRPr="0016296C" w14:paraId="72F3EFD3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C8BD11" w14:textId="77777777" w:rsidR="00D91085" w:rsidRPr="0016296C" w:rsidRDefault="00D91085" w:rsidP="00D8304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0A29D6" w14:textId="77777777" w:rsidR="00D91085" w:rsidRPr="0016296C" w:rsidRDefault="00D91085" w:rsidP="00D91085">
                  <w:pPr>
                    <w:jc w:val="right"/>
                    <w:rPr>
                      <w:b/>
                      <w:bCs/>
                    </w:rPr>
                  </w:pPr>
                </w:p>
              </w:tc>
            </w:tr>
            <w:tr w:rsidR="00D91085" w:rsidRPr="0016296C" w14:paraId="56053AEF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445FE0" w14:textId="77777777" w:rsidR="00D91085" w:rsidRPr="0016296C" w:rsidRDefault="00D91085" w:rsidP="00D83041">
                  <w:r w:rsidRPr="0016296C">
                    <w:t>OŠ SVETE ANE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1ECF58" w14:textId="77777777" w:rsidR="00D91085" w:rsidRPr="0016296C" w:rsidRDefault="00D91085" w:rsidP="00D91085">
                  <w:pPr>
                    <w:jc w:val="right"/>
                  </w:pPr>
                  <w:r w:rsidRPr="0016296C">
                    <w:t xml:space="preserve">-25.326,30    </w:t>
                  </w:r>
                </w:p>
              </w:tc>
            </w:tr>
            <w:tr w:rsidR="00D91085" w:rsidRPr="0016296C" w14:paraId="1BF24E94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B2C61B" w14:textId="77777777" w:rsidR="00D91085" w:rsidRPr="0016296C" w:rsidRDefault="00D91085" w:rsidP="00D83041">
                  <w:r w:rsidRPr="0016296C">
                    <w:t>KULTURNI CENTAR OSIJEK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66C722" w14:textId="77777777" w:rsidR="00D91085" w:rsidRPr="0016296C" w:rsidRDefault="00D91085" w:rsidP="00D91085">
                  <w:pPr>
                    <w:jc w:val="right"/>
                  </w:pPr>
                  <w:r w:rsidRPr="0016296C">
                    <w:t>-37.564,00</w:t>
                  </w:r>
                </w:p>
              </w:tc>
            </w:tr>
            <w:tr w:rsidR="00D91085" w:rsidRPr="0016296C" w14:paraId="5A426499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BD3478" w14:textId="77777777" w:rsidR="00D91085" w:rsidRPr="0016296C" w:rsidRDefault="00D91085" w:rsidP="00D83041">
                  <w:pPr>
                    <w:rPr>
                      <w:b/>
                      <w:bCs/>
                    </w:rPr>
                  </w:pPr>
                  <w:r w:rsidRPr="0016296C">
                    <w:rPr>
                      <w:b/>
                      <w:bCs/>
                    </w:rPr>
                    <w:t>Manjak za pokriće u sljedećem razdoblju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92BBFB" w14:textId="77777777" w:rsidR="00D91085" w:rsidRPr="0016296C" w:rsidRDefault="00D91085" w:rsidP="00D91085">
                  <w:pPr>
                    <w:jc w:val="right"/>
                    <w:rPr>
                      <w:b/>
                      <w:bCs/>
                    </w:rPr>
                  </w:pPr>
                  <w:r w:rsidRPr="0016296C">
                    <w:rPr>
                      <w:b/>
                      <w:bCs/>
                    </w:rPr>
                    <w:t>-62.890,30</w:t>
                  </w:r>
                </w:p>
              </w:tc>
            </w:tr>
            <w:tr w:rsidR="00D91085" w:rsidRPr="0016296C" w14:paraId="1975F5DE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1A284F" w14:textId="77777777" w:rsidR="00D91085" w:rsidRPr="0016296C" w:rsidRDefault="00D91085" w:rsidP="00D8304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8939A9" w14:textId="77777777" w:rsidR="00D91085" w:rsidRPr="0016296C" w:rsidRDefault="00D91085" w:rsidP="00D83041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D91085" w:rsidRPr="0016296C" w14:paraId="15C79BE6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660795" w14:textId="77777777" w:rsidR="00D91085" w:rsidRPr="0016296C" w:rsidRDefault="00D91085" w:rsidP="00D83041">
                  <w:pPr>
                    <w:rPr>
                      <w:b/>
                      <w:bCs/>
                    </w:rPr>
                  </w:pPr>
                  <w:r w:rsidRPr="0016296C">
                    <w:rPr>
                      <w:b/>
                      <w:bCs/>
                    </w:rPr>
                    <w:t>Konsolidirani višak prihoda i primitaka raspoloživ u sljedećem razdoblju</w:t>
                  </w:r>
                  <w:r>
                    <w:rPr>
                      <w:b/>
                      <w:bCs/>
                    </w:rPr>
                    <w:t xml:space="preserve"> (kn)</w:t>
                  </w: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3DD957" w14:textId="77777777" w:rsidR="00D91085" w:rsidRPr="0016296C" w:rsidRDefault="00D91085" w:rsidP="00D83041">
                  <w:pPr>
                    <w:jc w:val="center"/>
                    <w:rPr>
                      <w:b/>
                      <w:bCs/>
                    </w:rPr>
                  </w:pPr>
                  <w:r w:rsidRPr="0016296C">
                    <w:rPr>
                      <w:b/>
                      <w:bCs/>
                    </w:rPr>
                    <w:t>83.976.165,04</w:t>
                  </w:r>
                </w:p>
              </w:tc>
            </w:tr>
            <w:tr w:rsidR="00D91085" w:rsidRPr="0016296C" w14:paraId="408F8893" w14:textId="77777777" w:rsidTr="00D83041">
              <w:trPr>
                <w:trHeight w:val="300"/>
              </w:trPr>
              <w:tc>
                <w:tcPr>
                  <w:tcW w:w="5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B4905C" w14:textId="77777777" w:rsidR="00D91085" w:rsidRPr="0016296C" w:rsidRDefault="00D91085" w:rsidP="00D8304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B12F00B" w14:textId="77777777" w:rsidR="00D91085" w:rsidRPr="0016296C" w:rsidRDefault="00D91085" w:rsidP="00D83041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5D773A2E" w14:textId="77777777" w:rsidR="00D91085" w:rsidRPr="0098305F" w:rsidRDefault="00D91085" w:rsidP="00D83041">
            <w:pPr>
              <w:rPr>
                <w:color w:val="FF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FDB31" w14:textId="77777777" w:rsidR="00D91085" w:rsidRPr="0098305F" w:rsidRDefault="00D91085" w:rsidP="00D83041">
            <w:pPr>
              <w:jc w:val="center"/>
              <w:rPr>
                <w:color w:val="FF0000"/>
              </w:rPr>
            </w:pPr>
          </w:p>
        </w:tc>
      </w:tr>
    </w:tbl>
    <w:p w14:paraId="2075FB56" w14:textId="18910D9E" w:rsidR="00D91085" w:rsidRDefault="00D91085" w:rsidP="00D91085">
      <w:r w:rsidRPr="0005203F">
        <w:t>Pregled proračunskih korisnika koji su tijekom 20</w:t>
      </w:r>
      <w:r>
        <w:t>22</w:t>
      </w:r>
      <w:r w:rsidRPr="0005203F">
        <w:t>. radili ispravak rezultata:</w:t>
      </w:r>
    </w:p>
    <w:p w14:paraId="6937DD8B" w14:textId="77777777" w:rsidR="00D91085" w:rsidRDefault="00D91085" w:rsidP="00D91085"/>
    <w:tbl>
      <w:tblPr>
        <w:tblW w:w="9120" w:type="dxa"/>
        <w:tblLook w:val="04A0" w:firstRow="1" w:lastRow="0" w:firstColumn="1" w:lastColumn="0" w:noHBand="0" w:noVBand="1"/>
      </w:tblPr>
      <w:tblGrid>
        <w:gridCol w:w="960"/>
        <w:gridCol w:w="3020"/>
        <w:gridCol w:w="1460"/>
        <w:gridCol w:w="1960"/>
        <w:gridCol w:w="1720"/>
      </w:tblGrid>
      <w:tr w:rsidR="00D91085" w14:paraId="7F498854" w14:textId="77777777" w:rsidTr="00D83041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0C64" w14:textId="77777777" w:rsidR="00D91085" w:rsidRDefault="00D91085" w:rsidP="00D830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2B93" w14:textId="77777777" w:rsidR="00D91085" w:rsidRDefault="00D91085" w:rsidP="00D8304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PK koji su ispravljali rezultat: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F78AD" w14:textId="77777777" w:rsidR="00D91085" w:rsidRDefault="00D91085" w:rsidP="00D830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Višak/manjak raspoloživ u sljedećem razdoblju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54943" w14:textId="77777777" w:rsidR="00D91085" w:rsidRDefault="00D91085" w:rsidP="00D830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Višak/manjak preneseni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3C99" w14:textId="77777777" w:rsidR="00D91085" w:rsidRDefault="00D91085" w:rsidP="00D830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Razlika</w:t>
            </w:r>
          </w:p>
        </w:tc>
      </w:tr>
      <w:tr w:rsidR="00D91085" w14:paraId="4AB87966" w14:textId="77777777" w:rsidTr="00D830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FB0C" w14:textId="77777777" w:rsidR="00D91085" w:rsidRDefault="00D91085" w:rsidP="00D830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D100" w14:textId="77777777" w:rsidR="00D91085" w:rsidRDefault="00D91085" w:rsidP="00D830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OŠ AUGUST ŠENOA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DE70" w14:textId="77777777" w:rsidR="00D91085" w:rsidRDefault="00D91085" w:rsidP="00D830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236.012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6F30" w14:textId="77777777" w:rsidR="00D91085" w:rsidRDefault="00D91085" w:rsidP="00D830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85.180,32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7210" w14:textId="77777777" w:rsidR="00D91085" w:rsidRDefault="00D91085" w:rsidP="00D830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-150.831,68</w:t>
            </w:r>
          </w:p>
        </w:tc>
      </w:tr>
      <w:tr w:rsidR="00D91085" w14:paraId="1945C608" w14:textId="77777777" w:rsidTr="00D830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10A1" w14:textId="77777777" w:rsidR="00D91085" w:rsidRDefault="00D91085" w:rsidP="00D830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AA68" w14:textId="77777777" w:rsidR="00D91085" w:rsidRDefault="00D91085" w:rsidP="00D830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PKC MAĐARI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4147" w14:textId="77777777" w:rsidR="00D91085" w:rsidRDefault="00D91085" w:rsidP="00D830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-53.083,00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3767" w14:textId="77777777" w:rsidR="00D91085" w:rsidRDefault="00D91085" w:rsidP="00D830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95.398,51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58F0" w14:textId="77777777" w:rsidR="00D91085" w:rsidRDefault="00D91085" w:rsidP="00D830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42.315,51</w:t>
            </w:r>
          </w:p>
        </w:tc>
      </w:tr>
      <w:tr w:rsidR="00D91085" w14:paraId="205E53C1" w14:textId="77777777" w:rsidTr="00D830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E864" w14:textId="77777777" w:rsidR="00D91085" w:rsidRDefault="00D91085" w:rsidP="00D830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02BF" w14:textId="77777777" w:rsidR="00D91085" w:rsidRDefault="00D91085" w:rsidP="00D830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KULTURNI CENTAR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18A0" w14:textId="77777777" w:rsidR="00D91085" w:rsidRDefault="00D91085" w:rsidP="00D830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-340464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97A8" w14:textId="77777777" w:rsidR="00D91085" w:rsidRDefault="00D91085" w:rsidP="00D830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356.464,69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C03B" w14:textId="77777777" w:rsidR="00D91085" w:rsidRDefault="00D91085" w:rsidP="00D830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16.000,69</w:t>
            </w:r>
          </w:p>
        </w:tc>
      </w:tr>
      <w:tr w:rsidR="00D91085" w14:paraId="44833B3A" w14:textId="77777777" w:rsidTr="00D830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CF0E" w14:textId="77777777" w:rsidR="00D91085" w:rsidRDefault="00D91085" w:rsidP="00D830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31EA" w14:textId="77777777" w:rsidR="00D91085" w:rsidRDefault="00D91085" w:rsidP="00D830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OŠ FRANJE KREŽME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B214" w14:textId="77777777" w:rsidR="00D91085" w:rsidRDefault="00D91085" w:rsidP="00D830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461.806,00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7B77" w14:textId="77777777" w:rsidR="00D91085" w:rsidRDefault="00D91085" w:rsidP="00D830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460.713,35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41AD" w14:textId="77777777" w:rsidR="00D91085" w:rsidRDefault="00D91085" w:rsidP="00D830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-1.092,65</w:t>
            </w:r>
          </w:p>
        </w:tc>
      </w:tr>
      <w:tr w:rsidR="00D91085" w14:paraId="0B9DC13C" w14:textId="77777777" w:rsidTr="00D830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EE71" w14:textId="77777777" w:rsidR="00D91085" w:rsidRDefault="00D91085" w:rsidP="00D830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651A" w14:textId="77777777" w:rsidR="00D91085" w:rsidRDefault="00D91085" w:rsidP="00D830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OŠ LJUDEVITA GAJA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809E" w14:textId="77777777" w:rsidR="00D91085" w:rsidRDefault="00D91085" w:rsidP="00D830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139.412,00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1600" w14:textId="77777777" w:rsidR="00D91085" w:rsidRDefault="00D91085" w:rsidP="00D830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107.015,05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C75A" w14:textId="77777777" w:rsidR="00D91085" w:rsidRDefault="00D91085" w:rsidP="00D830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-32.396,95</w:t>
            </w:r>
          </w:p>
        </w:tc>
      </w:tr>
      <w:tr w:rsidR="00D91085" w14:paraId="69BA25C5" w14:textId="77777777" w:rsidTr="00D830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BFE3" w14:textId="77777777" w:rsidR="00D91085" w:rsidRDefault="00D91085" w:rsidP="00D830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3DEF" w14:textId="77777777" w:rsidR="00D91085" w:rsidRDefault="00D91085" w:rsidP="00D830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GRADSKE GALERIJE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C4D5" w14:textId="77777777" w:rsidR="00D91085" w:rsidRDefault="00D91085" w:rsidP="00D830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-25.015,00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CC09" w14:textId="77777777" w:rsidR="00D91085" w:rsidRDefault="00D91085" w:rsidP="00D830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28.100,56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5900" w14:textId="77777777" w:rsidR="00D91085" w:rsidRDefault="00D91085" w:rsidP="00D830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3.085,56</w:t>
            </w:r>
          </w:p>
        </w:tc>
      </w:tr>
      <w:tr w:rsidR="00D91085" w14:paraId="41FA384B" w14:textId="77777777" w:rsidTr="00D830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EF6D" w14:textId="77777777" w:rsidR="00D91085" w:rsidRDefault="00D91085" w:rsidP="00D830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01E9" w14:textId="77777777" w:rsidR="00D91085" w:rsidRDefault="00D91085" w:rsidP="00D830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OŠ VLADIMIRA BECIĆA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3543" w14:textId="77777777" w:rsidR="00D91085" w:rsidRDefault="00D91085" w:rsidP="00D830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511.404,00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4194" w14:textId="77777777" w:rsidR="00D91085" w:rsidRDefault="00D91085" w:rsidP="00D830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552.609,17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9685" w14:textId="77777777" w:rsidR="00D91085" w:rsidRDefault="00D91085" w:rsidP="00D830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41.205,17</w:t>
            </w:r>
          </w:p>
        </w:tc>
      </w:tr>
      <w:tr w:rsidR="00D91085" w14:paraId="57134564" w14:textId="77777777" w:rsidTr="00D830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7621" w14:textId="77777777" w:rsidR="00D91085" w:rsidRDefault="00D91085" w:rsidP="00D830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A482" w14:textId="77777777" w:rsidR="00D91085" w:rsidRDefault="00D91085" w:rsidP="00D830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OŠ GRIGOR VITEZ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E4DE" w14:textId="77777777" w:rsidR="00D91085" w:rsidRDefault="00D91085" w:rsidP="00D830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283.043,00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0A16" w14:textId="77777777" w:rsidR="00D91085" w:rsidRDefault="00D91085" w:rsidP="00D830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323.679,81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EE7F" w14:textId="77777777" w:rsidR="00D91085" w:rsidRDefault="00D91085" w:rsidP="00D830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40.636,81</w:t>
            </w:r>
          </w:p>
        </w:tc>
      </w:tr>
      <w:tr w:rsidR="00D91085" w14:paraId="14F99982" w14:textId="77777777" w:rsidTr="00D830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0391" w14:textId="77777777" w:rsidR="00D91085" w:rsidRDefault="00D91085" w:rsidP="00D830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9D48" w14:textId="77777777" w:rsidR="00D91085" w:rsidRDefault="00D91085" w:rsidP="00D830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OŠ TENJA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9133" w14:textId="77777777" w:rsidR="00D91085" w:rsidRDefault="00D91085" w:rsidP="00D830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202.761,00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1449" w14:textId="77777777" w:rsidR="00D91085" w:rsidRDefault="00D91085" w:rsidP="00D830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199.591,64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2EA7" w14:textId="77777777" w:rsidR="00D91085" w:rsidRDefault="00D91085" w:rsidP="00D830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-3.169,36</w:t>
            </w:r>
          </w:p>
        </w:tc>
      </w:tr>
      <w:tr w:rsidR="00D91085" w14:paraId="07446146" w14:textId="77777777" w:rsidTr="00D830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C5BA" w14:textId="77777777" w:rsidR="00D91085" w:rsidRDefault="00D91085" w:rsidP="00D830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3E93" w14:textId="77777777" w:rsidR="00D91085" w:rsidRDefault="00D91085" w:rsidP="00D830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OŠ FKF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443F" w14:textId="77777777" w:rsidR="00D91085" w:rsidRDefault="00D91085" w:rsidP="00D830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22.781,00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2396" w14:textId="77777777" w:rsidR="00D91085" w:rsidRDefault="00D91085" w:rsidP="00D830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31.156,19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379D" w14:textId="77777777" w:rsidR="00D91085" w:rsidRDefault="00D91085" w:rsidP="00D830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8.375,19</w:t>
            </w:r>
          </w:p>
        </w:tc>
      </w:tr>
      <w:tr w:rsidR="00D91085" w14:paraId="455C0C3E" w14:textId="77777777" w:rsidTr="00D830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68BC" w14:textId="77777777" w:rsidR="00D91085" w:rsidRDefault="00D91085" w:rsidP="00D830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D7E0" w14:textId="77777777" w:rsidR="00D91085" w:rsidRDefault="00D91085" w:rsidP="00D830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9594" w14:textId="77777777" w:rsidR="00D91085" w:rsidRDefault="00D91085" w:rsidP="00D830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1.438.657,00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0324" w14:textId="77777777" w:rsidR="00D91085" w:rsidRDefault="00D91085" w:rsidP="00D830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2.239.909,29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54A4" w14:textId="77777777" w:rsidR="00D91085" w:rsidRDefault="00D91085" w:rsidP="00D8304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-35.871,71</w:t>
            </w:r>
          </w:p>
        </w:tc>
      </w:tr>
    </w:tbl>
    <w:p w14:paraId="167C73A7" w14:textId="7A91E7E4" w:rsidR="00C079B6" w:rsidRDefault="00C079B6" w:rsidP="00D91085">
      <w:pPr>
        <w:pStyle w:val="Uvuenotijeloteksta"/>
        <w:ind w:left="0"/>
      </w:pPr>
    </w:p>
    <w:p w14:paraId="4A7A1B0D" w14:textId="519F88FA" w:rsidR="00C079B6" w:rsidRPr="00E917D7" w:rsidRDefault="00C079B6" w:rsidP="00D91085">
      <w:pPr>
        <w:pStyle w:val="Uvuenotijeloteksta"/>
        <w:ind w:left="0"/>
      </w:pPr>
      <w:r>
        <w:t>Kod većine korisnika isprava</w:t>
      </w:r>
      <w:r w:rsidR="00C24214">
        <w:t>k rezultata vezan je za povrat</w:t>
      </w:r>
      <w:r w:rsidR="006D6F76">
        <w:t>e prema HZZO-u i uočene pogreške iz prethodnih godina. Kod OŠ August Šenoa nije dobiveno zadovoljavajuće obrazloženje vezano za isp</w:t>
      </w:r>
      <w:r w:rsidR="00471AE8">
        <w:t>ravak rezultata, te se očekuju buduće korekcije u sljedećoj godini.</w:t>
      </w:r>
    </w:p>
    <w:p w14:paraId="17C4E11A" w14:textId="295A5BCD" w:rsidR="002E00E2" w:rsidRPr="00E917D7" w:rsidRDefault="002E00E2" w:rsidP="002E00E2">
      <w:pPr>
        <w:jc w:val="both"/>
      </w:pPr>
      <w:r w:rsidRPr="00BC4904">
        <w:rPr>
          <w:b/>
        </w:rPr>
        <w:t>991/996</w:t>
      </w:r>
      <w:r w:rsidRPr="00E917D7">
        <w:t xml:space="preserve"> U okviru iskazanih </w:t>
      </w:r>
      <w:proofErr w:type="spellStart"/>
      <w:r w:rsidRPr="00E917D7">
        <w:t>izvanbilančnih</w:t>
      </w:r>
      <w:proofErr w:type="spellEnd"/>
      <w:r w:rsidRPr="00E917D7">
        <w:t xml:space="preserve"> zapisa nalaze se dana jamstava i suglasnosti za dugoročno zaduživanje trgovačkih društava i ustanova u većinskom vlasništvu Grada Osijeka, korištenje tuđe imovine (oprema iz robnih rezervi RH), sudski sporovi, primljeni i dani instrumenti osiguranja plaćanja i dr.</w:t>
      </w:r>
    </w:p>
    <w:p w14:paraId="76FC51B9" w14:textId="77777777" w:rsidR="002E00E2" w:rsidRPr="00E917D7" w:rsidRDefault="002E00E2" w:rsidP="002E00E2">
      <w:pPr>
        <w:jc w:val="both"/>
      </w:pPr>
      <w:r>
        <w:tab/>
      </w:r>
      <w:r w:rsidRPr="00E917D7">
        <w:t>Stanje danih jamstava i suglasnosti Grada Osijeka na dan 31.12.202</w:t>
      </w:r>
      <w:r>
        <w:t>2</w:t>
      </w:r>
      <w:r w:rsidRPr="00E917D7">
        <w:t xml:space="preserve">. iznosi </w:t>
      </w:r>
      <w:r>
        <w:t>75</w:t>
      </w:r>
      <w:r w:rsidRPr="00E917D7">
        <w:t>.</w:t>
      </w:r>
      <w:r>
        <w:t>397</w:t>
      </w:r>
      <w:r w:rsidRPr="00E917D7">
        <w:t>.</w:t>
      </w:r>
      <w:r>
        <w:t>379,12</w:t>
      </w:r>
      <w:r w:rsidRPr="00E917D7">
        <w:t xml:space="preserve"> kn. Dana jamstva su </w:t>
      </w:r>
      <w:r>
        <w:t>65</w:t>
      </w:r>
      <w:r w:rsidRPr="00E917D7">
        <w:t>.</w:t>
      </w:r>
      <w:r>
        <w:t>866</w:t>
      </w:r>
      <w:r w:rsidRPr="00E917D7">
        <w:t>.</w:t>
      </w:r>
      <w:r>
        <w:t>401,92</w:t>
      </w:r>
      <w:r w:rsidRPr="00E917D7">
        <w:t xml:space="preserve"> kn i odnose se na sljedeća trgovačka društva i ustanove:</w:t>
      </w:r>
    </w:p>
    <w:p w14:paraId="48D817A6" w14:textId="77777777" w:rsidR="002E00E2" w:rsidRPr="00E917D7" w:rsidRDefault="002E00E2" w:rsidP="002E00E2">
      <w:pPr>
        <w:jc w:val="both"/>
      </w:pPr>
      <w:r w:rsidRPr="00E917D7">
        <w:t>GPP d.o.o. Osijek</w:t>
      </w:r>
      <w:r w:rsidRPr="00E917D7">
        <w:tab/>
      </w:r>
      <w:r w:rsidRPr="00E917D7">
        <w:tab/>
      </w:r>
      <w:r w:rsidRPr="00E917D7">
        <w:tab/>
        <w:t xml:space="preserve">  </w:t>
      </w:r>
      <w:r>
        <w:t>40</w:t>
      </w:r>
      <w:r w:rsidRPr="00E917D7">
        <w:t>.</w:t>
      </w:r>
      <w:r>
        <w:t>432</w:t>
      </w:r>
      <w:r w:rsidRPr="00E917D7">
        <w:t>.</w:t>
      </w:r>
      <w:r>
        <w:t>856,57</w:t>
      </w:r>
      <w:r w:rsidRPr="00E917D7">
        <w:t xml:space="preserve"> kn</w:t>
      </w:r>
    </w:p>
    <w:p w14:paraId="25101572" w14:textId="77777777" w:rsidR="002E00E2" w:rsidRPr="00E917D7" w:rsidRDefault="002E00E2" w:rsidP="002E00E2">
      <w:pPr>
        <w:jc w:val="both"/>
      </w:pPr>
      <w:r w:rsidRPr="00E917D7">
        <w:t>Vodovod-Osijek d.o.o.</w:t>
      </w:r>
      <w:r w:rsidRPr="00E917D7">
        <w:tab/>
      </w:r>
      <w:r w:rsidRPr="00E917D7">
        <w:tab/>
        <w:t xml:space="preserve">  </w:t>
      </w:r>
      <w:r>
        <w:t>25</w:t>
      </w:r>
      <w:r w:rsidRPr="00E917D7">
        <w:t>.</w:t>
      </w:r>
      <w:r>
        <w:t>433</w:t>
      </w:r>
      <w:r w:rsidRPr="00E917D7">
        <w:t>.</w:t>
      </w:r>
      <w:r>
        <w:t>545,35</w:t>
      </w:r>
      <w:r w:rsidRPr="00E917D7">
        <w:t xml:space="preserve"> kn</w:t>
      </w:r>
    </w:p>
    <w:p w14:paraId="75137D98" w14:textId="77777777" w:rsidR="002E00E2" w:rsidRDefault="002E00E2" w:rsidP="002E00E2">
      <w:pPr>
        <w:jc w:val="both"/>
      </w:pPr>
      <w:r w:rsidRPr="00E917D7">
        <w:lastRenderedPageBreak/>
        <w:t>Obveze po danim suglasnostima za zaduživanje na 31.12.202</w:t>
      </w:r>
      <w:r>
        <w:t>2</w:t>
      </w:r>
      <w:r w:rsidRPr="00E917D7">
        <w:t xml:space="preserve">. iznose </w:t>
      </w:r>
      <w:r>
        <w:t>9</w:t>
      </w:r>
      <w:r w:rsidRPr="00E917D7">
        <w:t>.</w:t>
      </w:r>
      <w:r>
        <w:t>530</w:t>
      </w:r>
      <w:r w:rsidRPr="00E917D7">
        <w:t>.</w:t>
      </w:r>
      <w:r>
        <w:t>977,20</w:t>
      </w:r>
      <w:r w:rsidRPr="00E917D7">
        <w:t xml:space="preserve"> kn. Odnose se na </w:t>
      </w:r>
      <w:r>
        <w:t>trgovačko</w:t>
      </w:r>
      <w:r w:rsidRPr="00E917D7">
        <w:t xml:space="preserve"> društv</w:t>
      </w:r>
      <w:r>
        <w:t>o</w:t>
      </w:r>
      <w:r w:rsidRPr="00E917D7">
        <w:t xml:space="preserve"> u većinskom vlasništvu Grada Osijeka</w:t>
      </w:r>
      <w:r>
        <w:t xml:space="preserve"> Vodovod-Osijek d.o.o. </w:t>
      </w:r>
    </w:p>
    <w:p w14:paraId="07C61F7E" w14:textId="77777777" w:rsidR="002E00E2" w:rsidRPr="00E917D7" w:rsidRDefault="002E00E2" w:rsidP="002E00E2">
      <w:pPr>
        <w:jc w:val="both"/>
      </w:pPr>
      <w:r>
        <w:t>GPP d.o.o. Osijek i Vodovod-Osijek d.o.o., kao i Grad Osijek, izvršili su u 2022. refinanciranje kreditnih obveza pod iznimno povoljnim uvjetima, čime su postigli značajne uštede na troškovima kamata.</w:t>
      </w:r>
    </w:p>
    <w:p w14:paraId="56B2CE35" w14:textId="77777777" w:rsidR="002E00E2" w:rsidRPr="00E917D7" w:rsidRDefault="002E00E2" w:rsidP="002E00E2">
      <w:pPr>
        <w:spacing w:after="120" w:line="276" w:lineRule="auto"/>
        <w:jc w:val="both"/>
      </w:pPr>
      <w:r>
        <w:tab/>
      </w:r>
      <w:r w:rsidRPr="00E917D7">
        <w:t>Grad Osijek ima ustrojenu evidenciju odnosno registar sudskih predmeta iz kojeg je vidljiva analitika po pojedinim dionicima s procjenom vrijednosti spora i procijenjenim vremenom priljeva i odljeva. Skraćeni tablični pregled dajemo u nastavku ovih bilješki. Financijski učinak kao i očekivano trajanje teško je procijeniti jer značajniji sporovi velike vrijednosti traju već niz godina. Sudski postupci se u najvećem broju  odnose na naplatu prihoda</w:t>
      </w:r>
      <w:r>
        <w:t>,</w:t>
      </w:r>
      <w:r w:rsidRPr="00E917D7">
        <w:t>  iseljenja iz stanova koje koriste bespravni korisnici; iseljenja iz poslovnih prostora radi neplaćanja zakupnine</w:t>
      </w:r>
      <w:r>
        <w:t>,</w:t>
      </w:r>
      <w:r w:rsidRPr="00E917D7">
        <w:t xml:space="preserve"> zatim </w:t>
      </w:r>
      <w:proofErr w:type="spellStart"/>
      <w:r w:rsidRPr="00E917D7">
        <w:t>ošasne</w:t>
      </w:r>
      <w:proofErr w:type="spellEnd"/>
      <w:r w:rsidRPr="00E917D7">
        <w:t xml:space="preserve"> imovine (imovine bez nasljednika) i predmeta koji proizlaze iz te imovine odnosno ostavine</w:t>
      </w:r>
      <w:r>
        <w:t xml:space="preserve">, </w:t>
      </w:r>
      <w:r w:rsidRPr="00E917D7">
        <w:t>sporovi radi priznavanja prava vlasništva dosjelošću</w:t>
      </w:r>
      <w:r>
        <w:t>,</w:t>
      </w:r>
      <w:r w:rsidRPr="00E917D7">
        <w:t xml:space="preserve"> građenjem itd.</w:t>
      </w:r>
      <w:r>
        <w:t>,</w:t>
      </w:r>
      <w:r w:rsidRPr="00E917D7">
        <w:t xml:space="preserve"> naknade šteta zbog nezgoda na javnim površinama i drugo.</w:t>
      </w:r>
    </w:p>
    <w:p w14:paraId="50CC29C6" w14:textId="77777777" w:rsidR="002E00E2" w:rsidRPr="00E917D7" w:rsidRDefault="002E00E2" w:rsidP="002E00E2">
      <w:pPr>
        <w:spacing w:after="120" w:line="276" w:lineRule="auto"/>
        <w:jc w:val="both"/>
      </w:pPr>
    </w:p>
    <w:tbl>
      <w:tblPr>
        <w:tblpPr w:leftFromText="180" w:rightFromText="180" w:vertAnchor="text" w:tblpY="1"/>
        <w:tblOverlap w:val="never"/>
        <w:tblW w:w="3956" w:type="dxa"/>
        <w:tblLook w:val="04A0" w:firstRow="1" w:lastRow="0" w:firstColumn="1" w:lastColumn="0" w:noHBand="0" w:noVBand="1"/>
      </w:tblPr>
      <w:tblGrid>
        <w:gridCol w:w="1536"/>
        <w:gridCol w:w="2420"/>
      </w:tblGrid>
      <w:tr w:rsidR="00D91085" w:rsidRPr="00E917D7" w14:paraId="4DB622CB" w14:textId="77777777" w:rsidTr="00D83041">
        <w:trPr>
          <w:trHeight w:val="6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79AE" w14:textId="77777777" w:rsidR="00D91085" w:rsidRPr="00E917D7" w:rsidRDefault="00D91085" w:rsidP="00D83041">
            <w:pPr>
              <w:spacing w:after="120"/>
              <w:jc w:val="center"/>
              <w:rPr>
                <w:color w:val="000000"/>
              </w:rPr>
            </w:pPr>
            <w:r w:rsidRPr="00E917D7">
              <w:rPr>
                <w:color w:val="000000"/>
              </w:rPr>
              <w:t>Vrsta spora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7DF81" w14:textId="77777777" w:rsidR="00D91085" w:rsidRPr="00E917D7" w:rsidRDefault="00D91085" w:rsidP="00D83041">
            <w:pPr>
              <w:spacing w:after="120"/>
              <w:jc w:val="center"/>
              <w:rPr>
                <w:color w:val="000000"/>
              </w:rPr>
            </w:pPr>
            <w:r w:rsidRPr="00E917D7">
              <w:rPr>
                <w:color w:val="000000"/>
              </w:rPr>
              <w:t>Vrijednost po vrsti spora na 31.12.202</w:t>
            </w:r>
            <w:r>
              <w:rPr>
                <w:color w:val="000000"/>
              </w:rPr>
              <w:t>2</w:t>
            </w:r>
            <w:r w:rsidRPr="00E917D7">
              <w:rPr>
                <w:color w:val="000000"/>
              </w:rPr>
              <w:t>.</w:t>
            </w:r>
          </w:p>
        </w:tc>
      </w:tr>
      <w:tr w:rsidR="00D91085" w:rsidRPr="00E917D7" w14:paraId="089A7BC5" w14:textId="77777777" w:rsidTr="00D83041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91CC" w14:textId="77777777" w:rsidR="00D91085" w:rsidRPr="00E917D7" w:rsidRDefault="00D91085" w:rsidP="00D83041">
            <w:pPr>
              <w:spacing w:after="120"/>
              <w:rPr>
                <w:color w:val="000000"/>
              </w:rPr>
            </w:pPr>
            <w:r w:rsidRPr="00E917D7">
              <w:rPr>
                <w:color w:val="000000"/>
              </w:rPr>
              <w:t>Izvanparnični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26F6" w14:textId="77777777" w:rsidR="00D91085" w:rsidRPr="00E917D7" w:rsidRDefault="00D91085" w:rsidP="00D83041">
            <w:pPr>
              <w:spacing w:after="120"/>
              <w:jc w:val="right"/>
              <w:rPr>
                <w:color w:val="000000"/>
              </w:rPr>
            </w:pPr>
            <w:r w:rsidRPr="00226914">
              <w:rPr>
                <w:color w:val="000000"/>
              </w:rPr>
              <w:t>325.345,00</w:t>
            </w:r>
          </w:p>
        </w:tc>
      </w:tr>
      <w:tr w:rsidR="00D91085" w:rsidRPr="00E917D7" w14:paraId="6062C416" w14:textId="77777777" w:rsidTr="00D83041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E439" w14:textId="77777777" w:rsidR="00D91085" w:rsidRPr="00E917D7" w:rsidRDefault="00D91085" w:rsidP="00D83041">
            <w:pPr>
              <w:spacing w:after="120"/>
              <w:rPr>
                <w:color w:val="000000"/>
              </w:rPr>
            </w:pPr>
            <w:r w:rsidRPr="00E917D7">
              <w:rPr>
                <w:color w:val="000000"/>
              </w:rPr>
              <w:t>Ostavinski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2643" w14:textId="77777777" w:rsidR="00D91085" w:rsidRPr="00E917D7" w:rsidRDefault="00D91085" w:rsidP="00D83041">
            <w:pPr>
              <w:spacing w:after="120"/>
              <w:jc w:val="right"/>
              <w:rPr>
                <w:color w:val="000000"/>
              </w:rPr>
            </w:pPr>
            <w:r w:rsidRPr="008C201A">
              <w:rPr>
                <w:color w:val="000000"/>
              </w:rPr>
              <w:t>2.916.832,76</w:t>
            </w:r>
          </w:p>
        </w:tc>
      </w:tr>
      <w:tr w:rsidR="00D91085" w:rsidRPr="00E917D7" w14:paraId="6B7786F5" w14:textId="77777777" w:rsidTr="00D83041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6179" w14:textId="77777777" w:rsidR="00D91085" w:rsidRPr="00E917D7" w:rsidRDefault="00D91085" w:rsidP="00D83041">
            <w:pPr>
              <w:spacing w:after="120"/>
              <w:rPr>
                <w:color w:val="000000"/>
              </w:rPr>
            </w:pPr>
            <w:r w:rsidRPr="00E917D7">
              <w:rPr>
                <w:color w:val="000000"/>
              </w:rPr>
              <w:t>Ovršni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44DC" w14:textId="77777777" w:rsidR="00D91085" w:rsidRPr="00E917D7" w:rsidRDefault="00D91085" w:rsidP="00D83041">
            <w:pPr>
              <w:spacing w:after="120"/>
              <w:jc w:val="right"/>
              <w:rPr>
                <w:color w:val="000000"/>
              </w:rPr>
            </w:pPr>
            <w:r w:rsidRPr="008C201A">
              <w:rPr>
                <w:color w:val="000000"/>
              </w:rPr>
              <w:t>2.889.930,09</w:t>
            </w:r>
          </w:p>
        </w:tc>
      </w:tr>
      <w:tr w:rsidR="00D91085" w:rsidRPr="00E917D7" w14:paraId="6886F364" w14:textId="77777777" w:rsidTr="00D83041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5971" w14:textId="77777777" w:rsidR="00D91085" w:rsidRPr="00E917D7" w:rsidRDefault="00D91085" w:rsidP="00D83041">
            <w:pPr>
              <w:spacing w:after="120"/>
              <w:rPr>
                <w:color w:val="000000"/>
              </w:rPr>
            </w:pPr>
            <w:r w:rsidRPr="00E917D7">
              <w:rPr>
                <w:color w:val="000000"/>
              </w:rPr>
              <w:t>Parnični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2860" w14:textId="77777777" w:rsidR="00D91085" w:rsidRPr="00E917D7" w:rsidRDefault="00D91085" w:rsidP="00D83041">
            <w:pPr>
              <w:spacing w:after="120"/>
              <w:jc w:val="right"/>
              <w:rPr>
                <w:color w:val="000000"/>
              </w:rPr>
            </w:pPr>
            <w:r w:rsidRPr="00226914">
              <w:rPr>
                <w:color w:val="000000"/>
              </w:rPr>
              <w:t>63.021.020,62</w:t>
            </w:r>
          </w:p>
        </w:tc>
      </w:tr>
      <w:tr w:rsidR="00D91085" w:rsidRPr="00E917D7" w14:paraId="44970D47" w14:textId="77777777" w:rsidTr="00D83041">
        <w:trPr>
          <w:trHeight w:val="315"/>
        </w:trPr>
        <w:tc>
          <w:tcPr>
            <w:tcW w:w="15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441BC" w14:textId="77777777" w:rsidR="00D91085" w:rsidRPr="00E917D7" w:rsidRDefault="00D91085" w:rsidP="00D83041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A8D2F" w14:textId="77777777" w:rsidR="00D91085" w:rsidRPr="00E917D7" w:rsidRDefault="00D91085" w:rsidP="00D83041">
            <w:pPr>
              <w:spacing w:after="12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69.153.128,47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</w:tbl>
    <w:p w14:paraId="71E54863" w14:textId="77777777" w:rsidR="002E00E2" w:rsidRPr="00E917D7" w:rsidRDefault="002E00E2" w:rsidP="002E00E2">
      <w:pPr>
        <w:spacing w:after="120" w:line="276" w:lineRule="auto"/>
        <w:jc w:val="both"/>
      </w:pPr>
    </w:p>
    <w:p w14:paraId="0416F7E1" w14:textId="77777777" w:rsidR="002E00E2" w:rsidRPr="00E917D7" w:rsidRDefault="002E00E2" w:rsidP="002E00E2">
      <w:pPr>
        <w:spacing w:after="120"/>
        <w:jc w:val="both"/>
        <w:rPr>
          <w:highlight w:val="yellow"/>
        </w:rPr>
      </w:pPr>
    </w:p>
    <w:p w14:paraId="0030143C" w14:textId="505C940C" w:rsidR="002E00E2" w:rsidRPr="00E917D7" w:rsidRDefault="002E00E2" w:rsidP="002E00E2">
      <w:pPr>
        <w:spacing w:after="120"/>
        <w:jc w:val="both"/>
      </w:pPr>
    </w:p>
    <w:p w14:paraId="0AA864CF" w14:textId="79300182" w:rsidR="002E00E2" w:rsidRPr="00E917D7" w:rsidRDefault="002E00E2" w:rsidP="002E00E2">
      <w:pPr>
        <w:spacing w:after="120"/>
        <w:jc w:val="both"/>
      </w:pPr>
    </w:p>
    <w:p w14:paraId="41B6CDCA" w14:textId="1D019813" w:rsidR="002E00E2" w:rsidRPr="00E917D7" w:rsidRDefault="002E00E2" w:rsidP="002E00E2">
      <w:pPr>
        <w:spacing w:after="120"/>
        <w:jc w:val="both"/>
      </w:pPr>
    </w:p>
    <w:p w14:paraId="6133D4A3" w14:textId="22F4A24B" w:rsidR="002E00E2" w:rsidRDefault="002E00E2" w:rsidP="002E00E2">
      <w:pPr>
        <w:spacing w:after="120"/>
        <w:jc w:val="both"/>
      </w:pPr>
    </w:p>
    <w:p w14:paraId="1E02CCE6" w14:textId="6C7B4920" w:rsidR="00203A92" w:rsidRDefault="00203A92" w:rsidP="002E00E2">
      <w:pPr>
        <w:spacing w:after="120"/>
        <w:jc w:val="both"/>
      </w:pPr>
    </w:p>
    <w:p w14:paraId="50B14BF5" w14:textId="3CBBCF3E" w:rsidR="00203A92" w:rsidRDefault="00203A92" w:rsidP="002E00E2">
      <w:pPr>
        <w:spacing w:after="120"/>
        <w:jc w:val="both"/>
      </w:pPr>
    </w:p>
    <w:p w14:paraId="13F1556D" w14:textId="77777777" w:rsidR="002E00E2" w:rsidRPr="00E917D7" w:rsidRDefault="002E00E2" w:rsidP="002E00E2">
      <w:pPr>
        <w:pStyle w:val="StandardWeb"/>
        <w:spacing w:before="0" w:beforeAutospacing="0" w:after="120" w:afterAutospacing="0"/>
        <w:jc w:val="both"/>
        <w:rPr>
          <w:color w:val="000000"/>
        </w:rPr>
      </w:pPr>
      <w:r w:rsidRPr="00E917D7">
        <w:t xml:space="preserve">Od dugogodišnjih sudskih predmeta velikih vrijednosti koji još traju, izdvajamo sudski spor sa tvrtkom Strabag i </w:t>
      </w:r>
      <w:proofErr w:type="spellStart"/>
      <w:r w:rsidRPr="00E917D7">
        <w:t>Saubermacher</w:t>
      </w:r>
      <w:proofErr w:type="spellEnd"/>
      <w:r w:rsidRPr="00E917D7">
        <w:t xml:space="preserve"> AG gdje je Grad Osijek, kao jedan od osnivača ZOIS - Javne ustanove za zbrinjavanje komunalnog otpada istočne Slavonije, zajedno sa drugim osnivačima tužen na temelju solidarne odgovornosti. </w:t>
      </w:r>
      <w:r w:rsidRPr="00E917D7">
        <w:rPr>
          <w:color w:val="000000"/>
        </w:rPr>
        <w:t xml:space="preserve">Tužitelji </w:t>
      </w:r>
      <w:proofErr w:type="spellStart"/>
      <w:r w:rsidRPr="00E917D7">
        <w:rPr>
          <w:color w:val="000000"/>
        </w:rPr>
        <w:t>Saubermacher</w:t>
      </w:r>
      <w:proofErr w:type="spellEnd"/>
      <w:r w:rsidRPr="00E917D7">
        <w:rPr>
          <w:color w:val="000000"/>
        </w:rPr>
        <w:t xml:space="preserve"> - </w:t>
      </w:r>
      <w:proofErr w:type="spellStart"/>
      <w:r w:rsidRPr="00E917D7">
        <w:rPr>
          <w:color w:val="000000"/>
        </w:rPr>
        <w:t>Dientstleistdungs</w:t>
      </w:r>
      <w:proofErr w:type="spellEnd"/>
      <w:r w:rsidRPr="00E917D7">
        <w:rPr>
          <w:color w:val="000000"/>
        </w:rPr>
        <w:t xml:space="preserve"> AG i Strabag AG tužili su gradove osnivače Javne ustanove za zbrinjavanje komunalnog otpada istočne Slavonije (ZOIS) i to Grad Osijek, Grad Vukovar, Grad Županju, Grad Vinkovce i Grad Beli Manastir. Tužba je podnesena 2012. godine temeljem solidarne odgovornosti gradova osnivača ZOIS-a. Gradovi osnivači ZOIS-a ponijeli su protutužbu za zahtjevom za utvrđenje ništetnosti koncesijskog ugovora.</w:t>
      </w:r>
    </w:p>
    <w:p w14:paraId="2C66FBFC" w14:textId="77777777" w:rsidR="002E00E2" w:rsidRDefault="002E00E2" w:rsidP="002E00E2">
      <w:pPr>
        <w:pStyle w:val="StandardWeb"/>
        <w:spacing w:before="0" w:beforeAutospacing="0" w:after="120" w:afterAutospacing="0"/>
        <w:jc w:val="both"/>
        <w:rPr>
          <w:color w:val="000000"/>
        </w:rPr>
      </w:pPr>
      <w:r w:rsidRPr="00E917D7">
        <w:rPr>
          <w:color w:val="000000"/>
        </w:rPr>
        <w:t xml:space="preserve">Prvostupanjskom presudom Trgovačkog suda u Osijeku P-603/2015-145 od 11. siječnja 2018. godine odbijen je tužbeni zahtjev tužitelja u cijelosti, kao i </w:t>
      </w:r>
      <w:proofErr w:type="spellStart"/>
      <w:r w:rsidRPr="00E917D7">
        <w:rPr>
          <w:color w:val="000000"/>
        </w:rPr>
        <w:t>protutužbeni</w:t>
      </w:r>
      <w:proofErr w:type="spellEnd"/>
      <w:r w:rsidRPr="00E917D7">
        <w:rPr>
          <w:color w:val="000000"/>
        </w:rPr>
        <w:t xml:space="preserve"> zahtjevi svih tuženika. Žalba je uložena kako od strane tužitelja tako i svih tuženika (osim Grada Vinkovaca) na odlučivanje pred Visokim trgovačkim sudom Republike Hrvatske u Zagrebu.</w:t>
      </w:r>
    </w:p>
    <w:p w14:paraId="05DDADAB" w14:textId="77777777" w:rsidR="002E00E2" w:rsidRPr="00E917D7" w:rsidRDefault="002E00E2" w:rsidP="002E00E2">
      <w:pPr>
        <w:pStyle w:val="StandardWeb"/>
        <w:spacing w:before="0" w:beforeAutospacing="0" w:after="120" w:afterAutospacing="0"/>
        <w:jc w:val="both"/>
      </w:pPr>
      <w:r w:rsidRPr="00E917D7">
        <w:rPr>
          <w:color w:val="000000"/>
        </w:rPr>
        <w:t>Visoki trgovački sud je 21.12.2021. donio rješenje kojim je odredio izvođenje dokaza dopunskim financijsko-knjigovodstvenim vještačenjem radi izračuna visine izmakle koristi u vidu dobiti koju bi društvo ZIPOS d.o.o. ostvarilo prema Ugovoru o izgradnji i pogonu regionalnog odlagališta komunalnog otpada istočne Slavonije od 17.03.2006.</w:t>
      </w:r>
      <w:r w:rsidRPr="00E917D7">
        <w:t xml:space="preserve"> </w:t>
      </w:r>
    </w:p>
    <w:p w14:paraId="245C38AA" w14:textId="77777777" w:rsidR="002E00E2" w:rsidRPr="00E917D7" w:rsidRDefault="002E00E2" w:rsidP="002E00E2">
      <w:pPr>
        <w:pStyle w:val="StandardWeb"/>
        <w:spacing w:before="0" w:beforeAutospacing="0" w:after="120" w:afterAutospacing="0"/>
        <w:jc w:val="both"/>
        <w:rPr>
          <w:color w:val="000000"/>
        </w:rPr>
      </w:pPr>
      <w:r w:rsidRPr="00E917D7">
        <w:rPr>
          <w:color w:val="000000"/>
        </w:rPr>
        <w:lastRenderedPageBreak/>
        <w:t>Vrijednost predmeta spora je 400.000 EUR-a, 3.063.247,54 Kn i 5.289.055,42 EUR-a, uvećano za zatezne kamate i troškove.</w:t>
      </w:r>
      <w:r>
        <w:rPr>
          <w:color w:val="000000"/>
        </w:rPr>
        <w:t xml:space="preserve"> Teško je procijeniti iznos ukupnog potencijalnog troška za Grad Osijek.</w:t>
      </w:r>
    </w:p>
    <w:p w14:paraId="00F68670" w14:textId="351ED553" w:rsidR="002E00E2" w:rsidRPr="00E917D7" w:rsidRDefault="002E00E2" w:rsidP="002E00E2">
      <w:pPr>
        <w:tabs>
          <w:tab w:val="left" w:pos="1575"/>
        </w:tabs>
        <w:jc w:val="both"/>
        <w:rPr>
          <w:color w:val="FF0000"/>
        </w:rPr>
      </w:pPr>
      <w:r w:rsidRPr="00E917D7">
        <w:t xml:space="preserve">Pregled danih i primljenih instrumenata osiguranja plaćanja </w:t>
      </w:r>
      <w:r w:rsidR="00D91085">
        <w:t>Grada Osijeka</w:t>
      </w:r>
      <w:r w:rsidR="00D91085" w:rsidRPr="00E917D7">
        <w:t xml:space="preserve"> vidljiv je iz sljedećih tablica:</w:t>
      </w:r>
    </w:p>
    <w:tbl>
      <w:tblPr>
        <w:tblpPr w:leftFromText="180" w:rightFromText="180" w:vertAnchor="text" w:tblpY="1"/>
        <w:tblOverlap w:val="never"/>
        <w:tblW w:w="7386" w:type="dxa"/>
        <w:tblLook w:val="04A0" w:firstRow="1" w:lastRow="0" w:firstColumn="1" w:lastColumn="0" w:noHBand="0" w:noVBand="1"/>
      </w:tblPr>
      <w:tblGrid>
        <w:gridCol w:w="4410"/>
        <w:gridCol w:w="2976"/>
      </w:tblGrid>
      <w:tr w:rsidR="002E00E2" w:rsidRPr="00E917D7" w14:paraId="6A78EABB" w14:textId="77777777" w:rsidTr="00E34A5D">
        <w:trPr>
          <w:trHeight w:val="51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0FEB133D" w14:textId="77777777" w:rsidR="002E00E2" w:rsidRPr="00E917D7" w:rsidRDefault="002E00E2" w:rsidP="00E34A5D">
            <w:pPr>
              <w:rPr>
                <w:b/>
                <w:bCs/>
              </w:rPr>
            </w:pPr>
            <w:r w:rsidRPr="00E917D7">
              <w:rPr>
                <w:b/>
                <w:bCs/>
              </w:rPr>
              <w:t>Primljeni instrumenti osiguranja plaćanja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84DC485" w14:textId="77777777" w:rsidR="002E00E2" w:rsidRPr="00E917D7" w:rsidRDefault="002E00E2" w:rsidP="00E34A5D">
            <w:pPr>
              <w:jc w:val="center"/>
              <w:rPr>
                <w:b/>
              </w:rPr>
            </w:pPr>
            <w:r w:rsidRPr="00E917D7">
              <w:rPr>
                <w:b/>
              </w:rPr>
              <w:t>Iznos</w:t>
            </w:r>
          </w:p>
        </w:tc>
      </w:tr>
      <w:tr w:rsidR="002E00E2" w:rsidRPr="00E917D7" w14:paraId="1CD5C630" w14:textId="77777777" w:rsidTr="00E34A5D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0A4F" w14:textId="77777777" w:rsidR="002E00E2" w:rsidRPr="00E917D7" w:rsidRDefault="002E00E2" w:rsidP="00E34A5D">
            <w:r w:rsidRPr="00E917D7">
              <w:t>Bankarske garancije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54A4" w14:textId="77777777" w:rsidR="002E00E2" w:rsidRPr="00E917D7" w:rsidRDefault="002E00E2" w:rsidP="00E34A5D">
            <w:pPr>
              <w:jc w:val="right"/>
            </w:pPr>
            <w:r>
              <w:rPr>
                <w:color w:val="201F1E"/>
                <w:shd w:val="clear" w:color="auto" w:fill="FFFFFF"/>
              </w:rPr>
              <w:t>137</w:t>
            </w:r>
            <w:r w:rsidRPr="00E917D7">
              <w:rPr>
                <w:color w:val="201F1E"/>
                <w:shd w:val="clear" w:color="auto" w:fill="FFFFFF"/>
              </w:rPr>
              <w:t>.</w:t>
            </w:r>
            <w:r>
              <w:rPr>
                <w:color w:val="201F1E"/>
                <w:shd w:val="clear" w:color="auto" w:fill="FFFFFF"/>
              </w:rPr>
              <w:t>897</w:t>
            </w:r>
            <w:r w:rsidRPr="00E917D7">
              <w:rPr>
                <w:color w:val="201F1E"/>
                <w:shd w:val="clear" w:color="auto" w:fill="FFFFFF"/>
              </w:rPr>
              <w:t>.</w:t>
            </w:r>
            <w:r>
              <w:rPr>
                <w:color w:val="201F1E"/>
                <w:shd w:val="clear" w:color="auto" w:fill="FFFFFF"/>
              </w:rPr>
              <w:t>178,58</w:t>
            </w:r>
          </w:p>
        </w:tc>
      </w:tr>
      <w:tr w:rsidR="002E00E2" w:rsidRPr="00E917D7" w14:paraId="1B26C5B2" w14:textId="77777777" w:rsidTr="00E34A5D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D22A" w14:textId="77777777" w:rsidR="002E00E2" w:rsidRPr="00E917D7" w:rsidRDefault="002E00E2" w:rsidP="00E34A5D">
            <w:r w:rsidRPr="00E917D7">
              <w:t>Bjanko mjenica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6DFA" w14:textId="77777777" w:rsidR="002E00E2" w:rsidRPr="00E917D7" w:rsidRDefault="002E00E2" w:rsidP="00E34A5D">
            <w:pPr>
              <w:jc w:val="right"/>
            </w:pPr>
            <w:r>
              <w:t>4.849.900,90</w:t>
            </w:r>
          </w:p>
        </w:tc>
      </w:tr>
      <w:tr w:rsidR="002E00E2" w:rsidRPr="00E917D7" w14:paraId="17B07293" w14:textId="77777777" w:rsidTr="00E34A5D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0825" w14:textId="77777777" w:rsidR="002E00E2" w:rsidRPr="00E917D7" w:rsidRDefault="002E00E2" w:rsidP="00E34A5D">
            <w:r w:rsidRPr="00E917D7">
              <w:t>Zadužnica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43C0C" w14:textId="77777777" w:rsidR="002E00E2" w:rsidRPr="00E917D7" w:rsidRDefault="002E00E2" w:rsidP="00E34A5D">
            <w:pPr>
              <w:jc w:val="right"/>
            </w:pPr>
            <w:r>
              <w:rPr>
                <w:color w:val="201F1E"/>
                <w:shd w:val="clear" w:color="auto" w:fill="FFFFFF"/>
              </w:rPr>
              <w:t>68</w:t>
            </w:r>
            <w:r w:rsidRPr="00E917D7">
              <w:rPr>
                <w:color w:val="201F1E"/>
                <w:shd w:val="clear" w:color="auto" w:fill="FFFFFF"/>
              </w:rPr>
              <w:t>.</w:t>
            </w:r>
            <w:r>
              <w:rPr>
                <w:color w:val="201F1E"/>
                <w:shd w:val="clear" w:color="auto" w:fill="FFFFFF"/>
              </w:rPr>
              <w:t>139</w:t>
            </w:r>
            <w:r w:rsidRPr="00E917D7">
              <w:rPr>
                <w:color w:val="201F1E"/>
                <w:shd w:val="clear" w:color="auto" w:fill="FFFFFF"/>
              </w:rPr>
              <w:t>.</w:t>
            </w:r>
            <w:r>
              <w:rPr>
                <w:color w:val="201F1E"/>
                <w:shd w:val="clear" w:color="auto" w:fill="FFFFFF"/>
              </w:rPr>
              <w:t>570,98</w:t>
            </w:r>
          </w:p>
        </w:tc>
      </w:tr>
      <w:tr w:rsidR="002E00E2" w:rsidRPr="00E917D7" w14:paraId="3A5DDF9C" w14:textId="77777777" w:rsidTr="00E34A5D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83F8D" w14:textId="77777777" w:rsidR="002E00E2" w:rsidRPr="00E917D7" w:rsidRDefault="002E00E2" w:rsidP="00E34A5D">
            <w:r>
              <w:t>Polica osiguranja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AEF60" w14:textId="77777777" w:rsidR="002E00E2" w:rsidRDefault="002E00E2" w:rsidP="00E34A5D">
            <w:pPr>
              <w:jc w:val="right"/>
              <w:rPr>
                <w:color w:val="201F1E"/>
                <w:shd w:val="clear" w:color="auto" w:fill="FFFFFF"/>
              </w:rPr>
            </w:pPr>
            <w:r>
              <w:rPr>
                <w:color w:val="201F1E"/>
                <w:shd w:val="clear" w:color="auto" w:fill="FFFFFF"/>
              </w:rPr>
              <w:t>465.238,03</w:t>
            </w:r>
          </w:p>
        </w:tc>
      </w:tr>
      <w:tr w:rsidR="002E00E2" w:rsidRPr="00E917D7" w14:paraId="38BE6000" w14:textId="77777777" w:rsidTr="00E34A5D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8442E" w14:textId="77777777" w:rsidR="002E00E2" w:rsidRPr="00E917D7" w:rsidRDefault="002E00E2" w:rsidP="00E34A5D">
            <w:r w:rsidRPr="00E917D7">
              <w:t>UKUPNO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C70C0" w14:textId="77777777" w:rsidR="002E00E2" w:rsidRPr="00E917D7" w:rsidRDefault="002E00E2" w:rsidP="00E34A5D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211.351.888,49</w:t>
            </w:r>
            <w:r>
              <w:fldChar w:fldCharType="end"/>
            </w:r>
          </w:p>
        </w:tc>
      </w:tr>
    </w:tbl>
    <w:p w14:paraId="7A75A934" w14:textId="77777777" w:rsidR="002E00E2" w:rsidRDefault="002E00E2" w:rsidP="002E00E2">
      <w:pPr>
        <w:jc w:val="center"/>
        <w:rPr>
          <w:b/>
        </w:rPr>
      </w:pPr>
    </w:p>
    <w:p w14:paraId="0EE91B7E" w14:textId="77777777" w:rsidR="002E00E2" w:rsidRDefault="002E00E2" w:rsidP="002E00E2">
      <w:pPr>
        <w:jc w:val="center"/>
        <w:rPr>
          <w:b/>
        </w:rPr>
      </w:pPr>
    </w:p>
    <w:p w14:paraId="1FD05DF5" w14:textId="77777777" w:rsidR="002E00E2" w:rsidRDefault="002E00E2" w:rsidP="002E00E2">
      <w:pPr>
        <w:jc w:val="center"/>
        <w:rPr>
          <w:b/>
        </w:rPr>
      </w:pPr>
    </w:p>
    <w:p w14:paraId="17B147CA" w14:textId="77777777" w:rsidR="002E00E2" w:rsidRPr="00E917D7" w:rsidRDefault="002E00E2" w:rsidP="002E00E2">
      <w:pPr>
        <w:jc w:val="center"/>
        <w:rPr>
          <w:b/>
        </w:rPr>
      </w:pPr>
    </w:p>
    <w:p w14:paraId="071BC450" w14:textId="77777777" w:rsidR="002E00E2" w:rsidRPr="00E917D7" w:rsidRDefault="002E00E2" w:rsidP="002E00E2">
      <w:pPr>
        <w:jc w:val="center"/>
        <w:rPr>
          <w:b/>
        </w:rPr>
      </w:pPr>
    </w:p>
    <w:p w14:paraId="4F46DFD1" w14:textId="77777777" w:rsidR="002E00E2" w:rsidRPr="00E917D7" w:rsidRDefault="002E00E2" w:rsidP="002E00E2">
      <w:pPr>
        <w:jc w:val="center"/>
        <w:rPr>
          <w:b/>
        </w:rPr>
      </w:pPr>
    </w:p>
    <w:p w14:paraId="6D053BF3" w14:textId="7AEAAC56" w:rsidR="002E00E2" w:rsidRDefault="002E00E2" w:rsidP="002E00E2"/>
    <w:p w14:paraId="17E2619F" w14:textId="77777777" w:rsidR="00D91085" w:rsidRDefault="00D91085" w:rsidP="00D91085"/>
    <w:tbl>
      <w:tblPr>
        <w:tblW w:w="7371" w:type="dxa"/>
        <w:tblInd w:w="-5" w:type="dxa"/>
        <w:tblLook w:val="04A0" w:firstRow="1" w:lastRow="0" w:firstColumn="1" w:lastColumn="0" w:noHBand="0" w:noVBand="1"/>
      </w:tblPr>
      <w:tblGrid>
        <w:gridCol w:w="4508"/>
        <w:gridCol w:w="2863"/>
      </w:tblGrid>
      <w:tr w:rsidR="002E00E2" w:rsidRPr="00E917D7" w14:paraId="03D928EF" w14:textId="77777777" w:rsidTr="00D91085">
        <w:trPr>
          <w:trHeight w:val="255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7CD9D01C" w14:textId="77777777" w:rsidR="002E00E2" w:rsidRPr="00E917D7" w:rsidRDefault="002E00E2" w:rsidP="00E34A5D">
            <w:pPr>
              <w:rPr>
                <w:b/>
                <w:bCs/>
              </w:rPr>
            </w:pPr>
            <w:r w:rsidRPr="00E917D7">
              <w:rPr>
                <w:b/>
                <w:bCs/>
              </w:rPr>
              <w:t xml:space="preserve">Izdani instrumenti osiguranja plaćanja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</w:tcPr>
          <w:p w14:paraId="4B11C5AC" w14:textId="77777777" w:rsidR="002E00E2" w:rsidRPr="00E917D7" w:rsidRDefault="002E00E2" w:rsidP="00E34A5D">
            <w:pPr>
              <w:jc w:val="center"/>
              <w:rPr>
                <w:b/>
              </w:rPr>
            </w:pPr>
            <w:r w:rsidRPr="00E917D7">
              <w:rPr>
                <w:b/>
              </w:rPr>
              <w:t>Iznos</w:t>
            </w:r>
          </w:p>
        </w:tc>
      </w:tr>
      <w:tr w:rsidR="002E00E2" w:rsidRPr="00E917D7" w14:paraId="31F9F383" w14:textId="77777777" w:rsidTr="00D91085">
        <w:trPr>
          <w:trHeight w:val="25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1D4F" w14:textId="77777777" w:rsidR="002E00E2" w:rsidRPr="00E917D7" w:rsidRDefault="002E00E2" w:rsidP="00E34A5D">
            <w:r w:rsidRPr="00E917D7">
              <w:t xml:space="preserve">Zadužnica 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3A49" w14:textId="77777777" w:rsidR="002E00E2" w:rsidRPr="00E917D7" w:rsidRDefault="002E00E2" w:rsidP="00E34A5D">
            <w:pPr>
              <w:jc w:val="right"/>
            </w:pPr>
            <w:r w:rsidRPr="00D766FE">
              <w:rPr>
                <w:color w:val="201F1E"/>
                <w:shd w:val="clear" w:color="auto" w:fill="FFFFFF"/>
              </w:rPr>
              <w:t>36.631.017,02</w:t>
            </w:r>
          </w:p>
        </w:tc>
      </w:tr>
      <w:tr w:rsidR="002E00E2" w:rsidRPr="00E917D7" w14:paraId="6F27380D" w14:textId="77777777" w:rsidTr="00D91085">
        <w:trPr>
          <w:trHeight w:val="25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BF21" w14:textId="77777777" w:rsidR="002E00E2" w:rsidRPr="00E917D7" w:rsidRDefault="002E00E2" w:rsidP="00E34A5D">
            <w:r w:rsidRPr="00E917D7">
              <w:t>UKUPNO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44D52" w14:textId="77777777" w:rsidR="002E00E2" w:rsidRPr="00E917D7" w:rsidRDefault="002E00E2" w:rsidP="00E34A5D">
            <w:pPr>
              <w:jc w:val="right"/>
            </w:pPr>
            <w:r w:rsidRPr="00D766FE">
              <w:rPr>
                <w:color w:val="201F1E"/>
                <w:shd w:val="clear" w:color="auto" w:fill="FFFFFF"/>
              </w:rPr>
              <w:t>36.631.017,02</w:t>
            </w:r>
          </w:p>
        </w:tc>
      </w:tr>
    </w:tbl>
    <w:p w14:paraId="4E9E2ED4" w14:textId="77777777" w:rsidR="00D91085" w:rsidRDefault="00D91085" w:rsidP="00D91085"/>
    <w:p w14:paraId="25774845" w14:textId="4C037E78" w:rsidR="00D91085" w:rsidRPr="00046898" w:rsidRDefault="00D91085" w:rsidP="00D91085">
      <w:pPr>
        <w:ind w:firstLine="708"/>
        <w:jc w:val="both"/>
      </w:pPr>
      <w:r w:rsidRPr="00046898">
        <w:t xml:space="preserve">U okviru korisnika na kontu </w:t>
      </w:r>
      <w:proofErr w:type="spellStart"/>
      <w:r w:rsidRPr="00046898">
        <w:t>Izvanbilančni</w:t>
      </w:r>
      <w:proofErr w:type="spellEnd"/>
      <w:r w:rsidRPr="00046898">
        <w:t xml:space="preserve"> zapisi iskazan je ukupni iznos od </w:t>
      </w:r>
      <w:r>
        <w:t>9.984.832,31 kn</w:t>
      </w:r>
      <w:r w:rsidRPr="00046898">
        <w:t xml:space="preserve">. Najvećim dijelom odnosi se na opremu za provedbu projekta Cjelovite </w:t>
      </w:r>
      <w:proofErr w:type="spellStart"/>
      <w:r w:rsidRPr="00046898">
        <w:t>kurikularne</w:t>
      </w:r>
      <w:proofErr w:type="spellEnd"/>
      <w:r w:rsidRPr="00046898">
        <w:t xml:space="preserve"> reforme. Oprema je evidentirana u poslovnim knjigama Ministarstva, a škola istu vodi u svojim </w:t>
      </w:r>
      <w:proofErr w:type="spellStart"/>
      <w:r w:rsidRPr="00046898">
        <w:t>izvanbilančnim</w:t>
      </w:r>
      <w:proofErr w:type="spellEnd"/>
      <w:r w:rsidRPr="00046898">
        <w:t xml:space="preserve"> evidencijama. </w:t>
      </w:r>
      <w:r>
        <w:t xml:space="preserve">Također je tu evidentirana oprema dobivena od </w:t>
      </w:r>
      <w:proofErr w:type="spellStart"/>
      <w:r>
        <w:t>Carneta</w:t>
      </w:r>
      <w:proofErr w:type="spellEnd"/>
      <w:r>
        <w:t xml:space="preserve"> za provedbu projekta E-škole. </w:t>
      </w:r>
      <w:r w:rsidRPr="00046898">
        <w:t>Iznos od 1.</w:t>
      </w:r>
      <w:r>
        <w:t>054</w:t>
      </w:r>
      <w:r w:rsidRPr="00046898">
        <w:t>.</w:t>
      </w:r>
      <w:r>
        <w:t>952,43</w:t>
      </w:r>
      <w:r w:rsidRPr="00046898">
        <w:t xml:space="preserve"> kn odnosi se na JVP Grada Osijeka i u okviru istoga je iskazana vrijednost tuđe imovine na korištenju</w:t>
      </w:r>
      <w:r>
        <w:t xml:space="preserve"> (oprema se vodi u bilanci Grada Osijeka)</w:t>
      </w:r>
      <w:r w:rsidRPr="00046898">
        <w:t xml:space="preserve">. </w:t>
      </w:r>
    </w:p>
    <w:p w14:paraId="6C1C3CF4" w14:textId="4C0DF911" w:rsidR="00D91085" w:rsidRPr="00266D5D" w:rsidRDefault="00D91085" w:rsidP="00D91085">
      <w:pPr>
        <w:spacing w:line="276" w:lineRule="auto"/>
        <w:jc w:val="both"/>
      </w:pPr>
      <w:r>
        <w:t>Kod korisnika</w:t>
      </w:r>
      <w:r w:rsidRPr="00046898">
        <w:t xml:space="preserve"> potencijalne obveze temeljem sudskih sporova </w:t>
      </w:r>
      <w:r>
        <w:t>najvećim dijelom se odnose na sudske tužbe djelatnika koji su tužili školu vezano za neisplaćeno povećanje osnovice plaće.</w:t>
      </w:r>
    </w:p>
    <w:p w14:paraId="125B5E32" w14:textId="77777777" w:rsidR="00D91085" w:rsidRPr="00046898" w:rsidRDefault="00D91085" w:rsidP="00D91085">
      <w:pPr>
        <w:ind w:firstLine="708"/>
        <w:jc w:val="both"/>
      </w:pPr>
    </w:p>
    <w:p w14:paraId="563959E3" w14:textId="77777777" w:rsidR="00D91085" w:rsidRPr="00046898" w:rsidRDefault="00D91085" w:rsidP="00D91085">
      <w:pPr>
        <w:jc w:val="both"/>
        <w:rPr>
          <w:rFonts w:ascii="Cambria" w:hAnsi="Cambria"/>
        </w:rPr>
      </w:pPr>
      <w:r w:rsidRPr="00046898">
        <w:t>OŠ Višnjevac ima</w:t>
      </w:r>
      <w:r w:rsidRPr="00046898">
        <w:rPr>
          <w:rFonts w:ascii="Cambria" w:hAnsi="Cambria"/>
        </w:rPr>
        <w:t xml:space="preserve"> evidentirane dvije zadužnice po 100.000 kn, dane kao osiguranje podmirivanja budućih obveza Jadranskom osiguranju prilikom kupnje kombi vozila  te zadužnica u iznosu 90.000 kn kod izdavanja nove Visa </w:t>
      </w:r>
      <w:proofErr w:type="spellStart"/>
      <w:r w:rsidRPr="00046898">
        <w:rPr>
          <w:rFonts w:ascii="Cambria" w:hAnsi="Cambria"/>
        </w:rPr>
        <w:t>business</w:t>
      </w:r>
      <w:proofErr w:type="spellEnd"/>
      <w:r w:rsidRPr="00046898">
        <w:rPr>
          <w:rFonts w:ascii="Cambria" w:hAnsi="Cambria"/>
        </w:rPr>
        <w:t xml:space="preserve"> kartice za potrebe ERASMUS projekta.</w:t>
      </w:r>
    </w:p>
    <w:p w14:paraId="713A3C5E" w14:textId="77777777" w:rsidR="00D91085" w:rsidRPr="007A6745" w:rsidRDefault="00D91085" w:rsidP="00D91085">
      <w:pPr>
        <w:rPr>
          <w:rFonts w:ascii="Cambria" w:hAnsi="Cambria"/>
        </w:rPr>
      </w:pPr>
    </w:p>
    <w:tbl>
      <w:tblPr>
        <w:tblW w:w="9464" w:type="dxa"/>
        <w:tblBorders>
          <w:top w:val="single" w:sz="12" w:space="0" w:color="008000"/>
          <w:bottom w:val="single" w:sz="12" w:space="0" w:color="008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508"/>
        <w:gridCol w:w="1327"/>
        <w:gridCol w:w="1276"/>
        <w:gridCol w:w="1843"/>
        <w:gridCol w:w="992"/>
      </w:tblGrid>
      <w:tr w:rsidR="00D91085" w:rsidRPr="001B4FDF" w14:paraId="50CD0436" w14:textId="77777777" w:rsidTr="00D83041">
        <w:tc>
          <w:tcPr>
            <w:tcW w:w="959" w:type="dxa"/>
            <w:tcBorders>
              <w:bottom w:val="single" w:sz="6" w:space="0" w:color="008000"/>
            </w:tcBorders>
            <w:shd w:val="clear" w:color="auto" w:fill="auto"/>
          </w:tcPr>
          <w:p w14:paraId="622AD95C" w14:textId="77777777" w:rsidR="00D91085" w:rsidRPr="001B4FDF" w:rsidRDefault="00D91085" w:rsidP="00D83041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B4FDF">
              <w:rPr>
                <w:rFonts w:ascii="Cambria" w:hAnsi="Cambria"/>
                <w:b/>
                <w:bCs/>
                <w:sz w:val="18"/>
                <w:szCs w:val="18"/>
              </w:rPr>
              <w:t>DATUM IZDAVANJA</w:t>
            </w:r>
          </w:p>
        </w:tc>
        <w:tc>
          <w:tcPr>
            <w:tcW w:w="1559" w:type="dxa"/>
            <w:tcBorders>
              <w:bottom w:val="single" w:sz="6" w:space="0" w:color="008000"/>
            </w:tcBorders>
            <w:shd w:val="clear" w:color="auto" w:fill="auto"/>
          </w:tcPr>
          <w:p w14:paraId="20E177F7" w14:textId="77777777" w:rsidR="00D91085" w:rsidRPr="001B4FDF" w:rsidRDefault="00D91085" w:rsidP="00D83041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B4FDF">
              <w:rPr>
                <w:rFonts w:ascii="Cambria" w:hAnsi="Cambria"/>
                <w:b/>
                <w:bCs/>
                <w:sz w:val="18"/>
                <w:szCs w:val="18"/>
              </w:rPr>
              <w:t>INSTRUMENT</w:t>
            </w:r>
          </w:p>
          <w:p w14:paraId="04C3F488" w14:textId="77777777" w:rsidR="00D91085" w:rsidRPr="001B4FDF" w:rsidRDefault="00D91085" w:rsidP="00D83041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B4FDF">
              <w:rPr>
                <w:rFonts w:ascii="Cambria" w:hAnsi="Cambria"/>
                <w:b/>
                <w:bCs/>
                <w:sz w:val="18"/>
                <w:szCs w:val="18"/>
              </w:rPr>
              <w:t>OSIGURANJA</w:t>
            </w:r>
          </w:p>
        </w:tc>
        <w:tc>
          <w:tcPr>
            <w:tcW w:w="1508" w:type="dxa"/>
            <w:tcBorders>
              <w:bottom w:val="single" w:sz="6" w:space="0" w:color="008000"/>
            </w:tcBorders>
            <w:shd w:val="clear" w:color="auto" w:fill="auto"/>
          </w:tcPr>
          <w:p w14:paraId="6C88C8EA" w14:textId="77777777" w:rsidR="00D91085" w:rsidRPr="001B4FDF" w:rsidRDefault="00D91085" w:rsidP="00D83041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B4FDF">
              <w:rPr>
                <w:rFonts w:ascii="Cambria" w:hAnsi="Cambria"/>
                <w:b/>
                <w:bCs/>
                <w:sz w:val="18"/>
                <w:szCs w:val="18"/>
              </w:rPr>
              <w:t>IZNOS DANOG JAMSTVA</w:t>
            </w:r>
          </w:p>
        </w:tc>
        <w:tc>
          <w:tcPr>
            <w:tcW w:w="1327" w:type="dxa"/>
            <w:tcBorders>
              <w:bottom w:val="single" w:sz="6" w:space="0" w:color="008000"/>
            </w:tcBorders>
            <w:shd w:val="clear" w:color="auto" w:fill="auto"/>
          </w:tcPr>
          <w:p w14:paraId="5690AC19" w14:textId="77777777" w:rsidR="00D91085" w:rsidRPr="001B4FDF" w:rsidRDefault="00D91085" w:rsidP="00D83041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B4FDF">
              <w:rPr>
                <w:rFonts w:ascii="Cambria" w:hAnsi="Cambria"/>
                <w:b/>
                <w:bCs/>
                <w:sz w:val="18"/>
                <w:szCs w:val="18"/>
              </w:rPr>
              <w:t>PRIMATELJ JAMSTVA</w:t>
            </w:r>
          </w:p>
        </w:tc>
        <w:tc>
          <w:tcPr>
            <w:tcW w:w="1276" w:type="dxa"/>
            <w:tcBorders>
              <w:bottom w:val="single" w:sz="6" w:space="0" w:color="008000"/>
            </w:tcBorders>
            <w:shd w:val="clear" w:color="auto" w:fill="auto"/>
          </w:tcPr>
          <w:p w14:paraId="072714ED" w14:textId="77777777" w:rsidR="00D91085" w:rsidRPr="001B4FDF" w:rsidRDefault="00D91085" w:rsidP="00D83041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B4FDF">
              <w:rPr>
                <w:rFonts w:ascii="Cambria" w:hAnsi="Cambria"/>
                <w:b/>
                <w:bCs/>
                <w:sz w:val="18"/>
                <w:szCs w:val="18"/>
              </w:rPr>
              <w:t>NAMJENA</w:t>
            </w:r>
          </w:p>
        </w:tc>
        <w:tc>
          <w:tcPr>
            <w:tcW w:w="1843" w:type="dxa"/>
            <w:tcBorders>
              <w:bottom w:val="single" w:sz="6" w:space="0" w:color="008000"/>
            </w:tcBorders>
            <w:shd w:val="clear" w:color="auto" w:fill="auto"/>
          </w:tcPr>
          <w:p w14:paraId="015A7369" w14:textId="77777777" w:rsidR="00D91085" w:rsidRPr="001B4FDF" w:rsidRDefault="00D91085" w:rsidP="00D83041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B4FDF">
              <w:rPr>
                <w:rFonts w:ascii="Cambria" w:hAnsi="Cambria"/>
                <w:b/>
                <w:bCs/>
                <w:sz w:val="18"/>
                <w:szCs w:val="18"/>
              </w:rPr>
              <w:t>DOKUMENT</w:t>
            </w:r>
          </w:p>
        </w:tc>
        <w:tc>
          <w:tcPr>
            <w:tcW w:w="992" w:type="dxa"/>
            <w:tcBorders>
              <w:bottom w:val="single" w:sz="6" w:space="0" w:color="008000"/>
            </w:tcBorders>
            <w:shd w:val="clear" w:color="auto" w:fill="auto"/>
          </w:tcPr>
          <w:p w14:paraId="060A362D" w14:textId="77777777" w:rsidR="00D91085" w:rsidRPr="001B4FDF" w:rsidRDefault="00D91085" w:rsidP="00D83041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B4FDF">
              <w:rPr>
                <w:rFonts w:ascii="Cambria" w:hAnsi="Cambria"/>
                <w:b/>
                <w:bCs/>
                <w:sz w:val="18"/>
                <w:szCs w:val="18"/>
              </w:rPr>
              <w:t>ROK VAŽENJA</w:t>
            </w:r>
          </w:p>
        </w:tc>
      </w:tr>
      <w:tr w:rsidR="00D91085" w:rsidRPr="001B4FDF" w14:paraId="2E836AA9" w14:textId="77777777" w:rsidTr="00D83041">
        <w:tc>
          <w:tcPr>
            <w:tcW w:w="959" w:type="dxa"/>
            <w:shd w:val="clear" w:color="auto" w:fill="auto"/>
          </w:tcPr>
          <w:p w14:paraId="642762DD" w14:textId="77777777" w:rsidR="00D91085" w:rsidRPr="001B4FDF" w:rsidRDefault="00D91085" w:rsidP="00D83041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05.10.</w:t>
            </w:r>
          </w:p>
          <w:p w14:paraId="5608B1AB" w14:textId="77777777" w:rsidR="00D91085" w:rsidRPr="001B4FDF" w:rsidRDefault="00D91085" w:rsidP="00D83041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2018.</w:t>
            </w:r>
          </w:p>
        </w:tc>
        <w:tc>
          <w:tcPr>
            <w:tcW w:w="1559" w:type="dxa"/>
            <w:shd w:val="clear" w:color="auto" w:fill="auto"/>
          </w:tcPr>
          <w:p w14:paraId="2694D0DA" w14:textId="77777777" w:rsidR="00D91085" w:rsidRPr="001B4FDF" w:rsidRDefault="00D91085" w:rsidP="00D83041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ZADUŽNICA</w:t>
            </w:r>
          </w:p>
        </w:tc>
        <w:tc>
          <w:tcPr>
            <w:tcW w:w="1508" w:type="dxa"/>
            <w:shd w:val="clear" w:color="auto" w:fill="auto"/>
          </w:tcPr>
          <w:p w14:paraId="361D0BF8" w14:textId="77777777" w:rsidR="00D91085" w:rsidRPr="001B4FDF" w:rsidRDefault="00D91085" w:rsidP="00D83041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100.000 kn</w:t>
            </w:r>
          </w:p>
        </w:tc>
        <w:tc>
          <w:tcPr>
            <w:tcW w:w="1327" w:type="dxa"/>
            <w:shd w:val="clear" w:color="auto" w:fill="auto"/>
          </w:tcPr>
          <w:p w14:paraId="1360FB98" w14:textId="77777777" w:rsidR="00D91085" w:rsidRPr="001B4FDF" w:rsidRDefault="00D91085" w:rsidP="00D83041">
            <w:pPr>
              <w:rPr>
                <w:rFonts w:ascii="Cambria" w:hAnsi="Cambria"/>
                <w:sz w:val="16"/>
                <w:szCs w:val="16"/>
              </w:rPr>
            </w:pPr>
            <w:r w:rsidRPr="001B4FDF">
              <w:rPr>
                <w:rFonts w:ascii="Cambria" w:hAnsi="Cambria"/>
                <w:sz w:val="16"/>
                <w:szCs w:val="16"/>
              </w:rPr>
              <w:t>EUROLEASING</w:t>
            </w:r>
          </w:p>
        </w:tc>
        <w:tc>
          <w:tcPr>
            <w:tcW w:w="1276" w:type="dxa"/>
            <w:shd w:val="clear" w:color="auto" w:fill="auto"/>
          </w:tcPr>
          <w:p w14:paraId="0AA0A92C" w14:textId="77777777" w:rsidR="00D91085" w:rsidRPr="001B4FDF" w:rsidRDefault="00D91085" w:rsidP="00D83041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OSIGURANJE PLAĆANJA</w:t>
            </w:r>
          </w:p>
        </w:tc>
        <w:tc>
          <w:tcPr>
            <w:tcW w:w="1843" w:type="dxa"/>
            <w:shd w:val="clear" w:color="auto" w:fill="auto"/>
          </w:tcPr>
          <w:p w14:paraId="5086C43E" w14:textId="77777777" w:rsidR="00D91085" w:rsidRPr="001B4FDF" w:rsidRDefault="00D91085" w:rsidP="00D83041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UGOVOR O FINANCIJSKOM LEASINGU  31/049/18</w:t>
            </w:r>
          </w:p>
        </w:tc>
        <w:tc>
          <w:tcPr>
            <w:tcW w:w="992" w:type="dxa"/>
            <w:shd w:val="clear" w:color="auto" w:fill="auto"/>
          </w:tcPr>
          <w:p w14:paraId="5D234E65" w14:textId="77777777" w:rsidR="00D91085" w:rsidRPr="001B4FDF" w:rsidRDefault="00D91085" w:rsidP="00D83041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5g</w:t>
            </w:r>
          </w:p>
        </w:tc>
      </w:tr>
      <w:tr w:rsidR="00D91085" w:rsidRPr="001B4FDF" w14:paraId="21A2D640" w14:textId="77777777" w:rsidTr="00D83041">
        <w:tc>
          <w:tcPr>
            <w:tcW w:w="959" w:type="dxa"/>
            <w:shd w:val="clear" w:color="auto" w:fill="auto"/>
          </w:tcPr>
          <w:p w14:paraId="029F9370" w14:textId="77777777" w:rsidR="00D91085" w:rsidRPr="001B4FDF" w:rsidRDefault="00D91085" w:rsidP="00D83041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05.10.</w:t>
            </w:r>
          </w:p>
          <w:p w14:paraId="3EE7F273" w14:textId="77777777" w:rsidR="00D91085" w:rsidRPr="001B4FDF" w:rsidRDefault="00D91085" w:rsidP="00D83041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2018.</w:t>
            </w:r>
          </w:p>
        </w:tc>
        <w:tc>
          <w:tcPr>
            <w:tcW w:w="1559" w:type="dxa"/>
            <w:shd w:val="clear" w:color="auto" w:fill="auto"/>
          </w:tcPr>
          <w:p w14:paraId="634CF98C" w14:textId="77777777" w:rsidR="00D91085" w:rsidRPr="001B4FDF" w:rsidRDefault="00D91085" w:rsidP="00D83041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ZADUŽNICA</w:t>
            </w:r>
          </w:p>
        </w:tc>
        <w:tc>
          <w:tcPr>
            <w:tcW w:w="1508" w:type="dxa"/>
            <w:shd w:val="clear" w:color="auto" w:fill="auto"/>
          </w:tcPr>
          <w:p w14:paraId="1B0E638D" w14:textId="77777777" w:rsidR="00D91085" w:rsidRPr="001B4FDF" w:rsidRDefault="00D91085" w:rsidP="00D83041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100.000 kn</w:t>
            </w:r>
          </w:p>
          <w:p w14:paraId="120DDD16" w14:textId="77777777" w:rsidR="00D91085" w:rsidRPr="001B4FDF" w:rsidRDefault="00D91085" w:rsidP="00D83041">
            <w:pPr>
              <w:rPr>
                <w:rFonts w:ascii="Cambria" w:hAnsi="Cambria"/>
                <w:sz w:val="18"/>
                <w:szCs w:val="18"/>
              </w:rPr>
            </w:pPr>
          </w:p>
          <w:p w14:paraId="38E745B2" w14:textId="77777777" w:rsidR="00D91085" w:rsidRPr="001B4FDF" w:rsidRDefault="00D91085" w:rsidP="00D83041">
            <w:pPr>
              <w:rPr>
                <w:rFonts w:ascii="Cambria" w:hAnsi="Cambria"/>
                <w:sz w:val="18"/>
                <w:szCs w:val="18"/>
              </w:rPr>
            </w:pPr>
          </w:p>
          <w:p w14:paraId="1B699A0E" w14:textId="77777777" w:rsidR="00D91085" w:rsidRPr="001B4FDF" w:rsidRDefault="00D91085" w:rsidP="00D83041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D47BD23" w14:textId="77777777" w:rsidR="00D91085" w:rsidRPr="001B4FDF" w:rsidRDefault="00D91085" w:rsidP="00D83041">
            <w:pPr>
              <w:rPr>
                <w:rFonts w:ascii="Cambria" w:hAnsi="Cambria"/>
                <w:sz w:val="16"/>
                <w:szCs w:val="16"/>
              </w:rPr>
            </w:pPr>
            <w:r w:rsidRPr="001B4FDF">
              <w:rPr>
                <w:rFonts w:ascii="Cambria" w:hAnsi="Cambria"/>
                <w:sz w:val="16"/>
                <w:szCs w:val="16"/>
              </w:rPr>
              <w:t>EUROLEASING</w:t>
            </w:r>
          </w:p>
        </w:tc>
        <w:tc>
          <w:tcPr>
            <w:tcW w:w="1276" w:type="dxa"/>
            <w:shd w:val="clear" w:color="auto" w:fill="auto"/>
          </w:tcPr>
          <w:p w14:paraId="042FCE72" w14:textId="77777777" w:rsidR="00D91085" w:rsidRPr="001B4FDF" w:rsidRDefault="00D91085" w:rsidP="00D83041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OSIGURANJE PLAĆANJA</w:t>
            </w:r>
          </w:p>
        </w:tc>
        <w:tc>
          <w:tcPr>
            <w:tcW w:w="1843" w:type="dxa"/>
            <w:shd w:val="clear" w:color="auto" w:fill="auto"/>
          </w:tcPr>
          <w:p w14:paraId="390FA004" w14:textId="77777777" w:rsidR="00D91085" w:rsidRPr="001B4FDF" w:rsidRDefault="00D91085" w:rsidP="00D83041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UGOVOR O FINANCIJSKOM LEASINGU  31/049/18</w:t>
            </w:r>
          </w:p>
        </w:tc>
        <w:tc>
          <w:tcPr>
            <w:tcW w:w="992" w:type="dxa"/>
            <w:shd w:val="clear" w:color="auto" w:fill="auto"/>
          </w:tcPr>
          <w:p w14:paraId="277A8090" w14:textId="77777777" w:rsidR="00D91085" w:rsidRPr="001B4FDF" w:rsidRDefault="00D91085" w:rsidP="00D83041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5g</w:t>
            </w:r>
          </w:p>
        </w:tc>
      </w:tr>
      <w:tr w:rsidR="00D91085" w:rsidRPr="001B4FDF" w14:paraId="27467A60" w14:textId="77777777" w:rsidTr="00D83041">
        <w:trPr>
          <w:trHeight w:val="661"/>
        </w:trPr>
        <w:tc>
          <w:tcPr>
            <w:tcW w:w="959" w:type="dxa"/>
            <w:shd w:val="clear" w:color="auto" w:fill="auto"/>
          </w:tcPr>
          <w:p w14:paraId="7F022917" w14:textId="77777777" w:rsidR="00D91085" w:rsidRPr="001B4FDF" w:rsidRDefault="00D91085" w:rsidP="00D83041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12</w:t>
            </w:r>
            <w:r w:rsidRPr="001B4FDF">
              <w:rPr>
                <w:rFonts w:ascii="Cambria" w:hAnsi="Cambria"/>
                <w:sz w:val="18"/>
                <w:szCs w:val="18"/>
              </w:rPr>
              <w:t>.11.</w:t>
            </w:r>
          </w:p>
          <w:p w14:paraId="10EF6160" w14:textId="77777777" w:rsidR="00D91085" w:rsidRPr="001B4FDF" w:rsidRDefault="00D91085" w:rsidP="00D83041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2020.</w:t>
            </w:r>
          </w:p>
        </w:tc>
        <w:tc>
          <w:tcPr>
            <w:tcW w:w="1559" w:type="dxa"/>
            <w:shd w:val="clear" w:color="auto" w:fill="auto"/>
          </w:tcPr>
          <w:p w14:paraId="4A7769D4" w14:textId="77777777" w:rsidR="00D91085" w:rsidRPr="001B4FDF" w:rsidRDefault="00D91085" w:rsidP="00D83041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ZADUŽNICA</w:t>
            </w:r>
          </w:p>
        </w:tc>
        <w:tc>
          <w:tcPr>
            <w:tcW w:w="1508" w:type="dxa"/>
            <w:shd w:val="clear" w:color="auto" w:fill="auto"/>
          </w:tcPr>
          <w:p w14:paraId="6223CE91" w14:textId="77777777" w:rsidR="00D91085" w:rsidRPr="001B4FDF" w:rsidRDefault="00D91085" w:rsidP="00D83041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90.000 kn</w:t>
            </w:r>
          </w:p>
        </w:tc>
        <w:tc>
          <w:tcPr>
            <w:tcW w:w="1327" w:type="dxa"/>
            <w:shd w:val="clear" w:color="auto" w:fill="auto"/>
          </w:tcPr>
          <w:p w14:paraId="12B887BD" w14:textId="77777777" w:rsidR="00D91085" w:rsidRPr="001B4FDF" w:rsidRDefault="00D91085" w:rsidP="00D83041">
            <w:pPr>
              <w:rPr>
                <w:rFonts w:ascii="Cambria" w:hAnsi="Cambria"/>
                <w:sz w:val="16"/>
                <w:szCs w:val="16"/>
              </w:rPr>
            </w:pPr>
            <w:r w:rsidRPr="001B4FDF">
              <w:rPr>
                <w:rFonts w:ascii="Cambria" w:hAnsi="Cambria"/>
                <w:sz w:val="16"/>
                <w:szCs w:val="16"/>
              </w:rPr>
              <w:t>ADDIKO BANKA</w:t>
            </w:r>
          </w:p>
        </w:tc>
        <w:tc>
          <w:tcPr>
            <w:tcW w:w="1276" w:type="dxa"/>
            <w:shd w:val="clear" w:color="auto" w:fill="auto"/>
          </w:tcPr>
          <w:p w14:paraId="4C3C2930" w14:textId="77777777" w:rsidR="00D91085" w:rsidRPr="001B4FDF" w:rsidRDefault="00D91085" w:rsidP="00D83041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>OSIGURANJE PLAĆANJA</w:t>
            </w:r>
          </w:p>
        </w:tc>
        <w:tc>
          <w:tcPr>
            <w:tcW w:w="1843" w:type="dxa"/>
            <w:shd w:val="clear" w:color="auto" w:fill="auto"/>
          </w:tcPr>
          <w:p w14:paraId="3B04F3E0" w14:textId="77777777" w:rsidR="00D91085" w:rsidRPr="001B4FDF" w:rsidRDefault="00D91085" w:rsidP="00D83041">
            <w:pPr>
              <w:rPr>
                <w:rFonts w:ascii="Cambria" w:hAnsi="Cambria"/>
                <w:sz w:val="18"/>
                <w:szCs w:val="18"/>
              </w:rPr>
            </w:pPr>
            <w:r w:rsidRPr="001B4FDF">
              <w:rPr>
                <w:rFonts w:ascii="Cambria" w:hAnsi="Cambria"/>
                <w:sz w:val="18"/>
                <w:szCs w:val="18"/>
              </w:rPr>
              <w:t xml:space="preserve">UGOVOR </w:t>
            </w:r>
            <w:r>
              <w:rPr>
                <w:rFonts w:ascii="Cambria" w:hAnsi="Cambria"/>
                <w:sz w:val="18"/>
                <w:szCs w:val="18"/>
              </w:rPr>
              <w:t>O IZDAVANJU VISA BUSINESS KARTICE</w:t>
            </w:r>
          </w:p>
        </w:tc>
        <w:tc>
          <w:tcPr>
            <w:tcW w:w="992" w:type="dxa"/>
            <w:shd w:val="clear" w:color="auto" w:fill="auto"/>
          </w:tcPr>
          <w:p w14:paraId="480C9F42" w14:textId="77777777" w:rsidR="00D91085" w:rsidRPr="001B4FDF" w:rsidRDefault="00D91085" w:rsidP="00D83041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38DC8E10" w14:textId="77777777" w:rsidR="002E00E2" w:rsidRDefault="002E00E2" w:rsidP="002E00E2"/>
    <w:p w14:paraId="7E4017E2" w14:textId="7BE13A33" w:rsidR="005010B3" w:rsidRPr="0005203F" w:rsidRDefault="005010B3" w:rsidP="00555D92">
      <w:pPr>
        <w:ind w:firstLine="851"/>
        <w:rPr>
          <w:b/>
          <w:highlight w:val="yellow"/>
        </w:rPr>
      </w:pPr>
    </w:p>
    <w:p w14:paraId="0A82B589" w14:textId="537AF7C0" w:rsidR="008D1A82" w:rsidRDefault="008D1A82" w:rsidP="000756C0">
      <w:pPr>
        <w:jc w:val="center"/>
        <w:rPr>
          <w:b/>
          <w:sz w:val="28"/>
        </w:rPr>
      </w:pPr>
    </w:p>
    <w:p w14:paraId="2F7F5652" w14:textId="431F4BE6" w:rsidR="008D1A82" w:rsidRDefault="008D1A82" w:rsidP="000756C0">
      <w:pPr>
        <w:jc w:val="center"/>
        <w:rPr>
          <w:b/>
          <w:sz w:val="28"/>
        </w:rPr>
      </w:pPr>
    </w:p>
    <w:p w14:paraId="22AF94AB" w14:textId="44E71CFE" w:rsidR="008D1A82" w:rsidRDefault="008D1A82" w:rsidP="000756C0">
      <w:pPr>
        <w:jc w:val="center"/>
        <w:rPr>
          <w:b/>
          <w:sz w:val="28"/>
        </w:rPr>
      </w:pPr>
    </w:p>
    <w:p w14:paraId="1BBF7384" w14:textId="665A9963" w:rsidR="000756C0" w:rsidRPr="00F709CB" w:rsidRDefault="000756C0" w:rsidP="000756C0">
      <w:pPr>
        <w:jc w:val="center"/>
        <w:rPr>
          <w:b/>
          <w:sz w:val="28"/>
        </w:rPr>
      </w:pPr>
      <w:r w:rsidRPr="00F709CB">
        <w:rPr>
          <w:b/>
          <w:sz w:val="28"/>
        </w:rPr>
        <w:t xml:space="preserve">BILJEŠKE UZ IZVJEŠTAJ O OBVEZAMA </w:t>
      </w:r>
    </w:p>
    <w:p w14:paraId="1ABF571D" w14:textId="77777777" w:rsidR="000756C0" w:rsidRPr="00A2429E" w:rsidRDefault="000756C0" w:rsidP="000756C0">
      <w:pPr>
        <w:jc w:val="center"/>
        <w:rPr>
          <w:b/>
          <w:sz w:val="28"/>
          <w:highlight w:val="yellow"/>
        </w:rPr>
      </w:pPr>
    </w:p>
    <w:p w14:paraId="397DA3F1" w14:textId="77777777" w:rsidR="000756C0" w:rsidRPr="00A2429E" w:rsidRDefault="000756C0" w:rsidP="000756C0">
      <w:pPr>
        <w:jc w:val="center"/>
        <w:rPr>
          <w:b/>
          <w:sz w:val="28"/>
          <w:highlight w:val="yellow"/>
        </w:rPr>
      </w:pPr>
    </w:p>
    <w:p w14:paraId="0BFF0F9F" w14:textId="069BB7FC" w:rsidR="000756C0" w:rsidRDefault="000756C0" w:rsidP="000756C0">
      <w:pPr>
        <w:ind w:firstLine="708"/>
        <w:jc w:val="both"/>
      </w:pPr>
      <w:r>
        <w:t>Obveze konsolidiranog proračuna Grada Osijeka na dan 31.12.202</w:t>
      </w:r>
      <w:r w:rsidR="00E15AAB">
        <w:t>1</w:t>
      </w:r>
      <w:r>
        <w:t>. iznosile su 2</w:t>
      </w:r>
      <w:r w:rsidR="00E15AAB">
        <w:t>32</w:t>
      </w:r>
      <w:r>
        <w:t>.</w:t>
      </w:r>
      <w:r w:rsidR="00E15AAB">
        <w:t>980</w:t>
      </w:r>
      <w:r>
        <w:t>.</w:t>
      </w:r>
      <w:r w:rsidR="00E15AAB">
        <w:t>177,46</w:t>
      </w:r>
      <w:r>
        <w:t xml:space="preserve"> kn. Na dan 31.12.202</w:t>
      </w:r>
      <w:r w:rsidR="00E15AAB">
        <w:t>2</w:t>
      </w:r>
      <w:r>
        <w:t xml:space="preserve">. iste su veće za </w:t>
      </w:r>
      <w:r w:rsidR="00E94706">
        <w:t>56</w:t>
      </w:r>
      <w:r>
        <w:t>.</w:t>
      </w:r>
      <w:r w:rsidR="00E94706">
        <w:t>198</w:t>
      </w:r>
      <w:r>
        <w:t>.</w:t>
      </w:r>
      <w:r w:rsidR="00E94706">
        <w:t>248,04 kn</w:t>
      </w:r>
      <w:r>
        <w:t xml:space="preserve"> i iznose </w:t>
      </w:r>
      <w:r w:rsidR="00E94706">
        <w:t>289</w:t>
      </w:r>
      <w:r>
        <w:t>.</w:t>
      </w:r>
      <w:r w:rsidR="00E94706">
        <w:t>178</w:t>
      </w:r>
      <w:r>
        <w:t>.</w:t>
      </w:r>
      <w:r w:rsidR="00E94706">
        <w:t>425</w:t>
      </w:r>
      <w:r w:rsidR="00E15AAB">
        <w:t>,</w:t>
      </w:r>
      <w:r w:rsidR="00E94706">
        <w:t>50</w:t>
      </w:r>
      <w:r>
        <w:t xml:space="preserve"> kn.</w:t>
      </w:r>
    </w:p>
    <w:p w14:paraId="2553ACC4" w14:textId="39335091" w:rsidR="00E15AAB" w:rsidRDefault="000756C0" w:rsidP="00187FBC">
      <w:pPr>
        <w:ind w:firstLine="708"/>
        <w:jc w:val="both"/>
      </w:pPr>
      <w:r>
        <w:t xml:space="preserve">Od navedenog iznosa obveze Grada Osijeka su </w:t>
      </w:r>
      <w:r w:rsidR="00E94706">
        <w:t xml:space="preserve">260.312.574,88 kn (obveze Grada u iznosu </w:t>
      </w:r>
      <w:r w:rsidR="00E15AAB" w:rsidRPr="0065626A">
        <w:t>272.5</w:t>
      </w:r>
      <w:r w:rsidR="00E15AAB">
        <w:t>63</w:t>
      </w:r>
      <w:r w:rsidR="00E15AAB" w:rsidRPr="0065626A">
        <w:t>.</w:t>
      </w:r>
      <w:r w:rsidR="00E15AAB">
        <w:t>645</w:t>
      </w:r>
      <w:r w:rsidR="00E15AAB" w:rsidRPr="0065626A">
        <w:t>,</w:t>
      </w:r>
      <w:r w:rsidR="00E15AAB">
        <w:t>65</w:t>
      </w:r>
      <w:r w:rsidR="00E15AAB" w:rsidRPr="0065626A">
        <w:t xml:space="preserve"> kn</w:t>
      </w:r>
      <w:r w:rsidR="00E94706">
        <w:t xml:space="preserve"> umanjene za 12.251.070,77 kn uplaćenih novčanih sredstava proračunskih korisnika).</w:t>
      </w:r>
      <w:r>
        <w:t xml:space="preserve"> Obveze proračunskih korisnika Grada iznose 28.</w:t>
      </w:r>
      <w:r w:rsidR="00E15AAB">
        <w:t>865</w:t>
      </w:r>
      <w:r>
        <w:t>.</w:t>
      </w:r>
      <w:r w:rsidR="00E15AAB">
        <w:t>8</w:t>
      </w:r>
      <w:r w:rsidR="00187FBC">
        <w:t>50</w:t>
      </w:r>
      <w:r w:rsidR="00E15AAB">
        <w:t>,62</w:t>
      </w:r>
      <w:r>
        <w:t xml:space="preserve"> kn</w:t>
      </w:r>
      <w:r w:rsidR="00187FBC">
        <w:t xml:space="preserve">, od čega 112.938,84 kn dospjelih neplaćenih obveza. </w:t>
      </w:r>
      <w:r w:rsidR="00E15AAB">
        <w:t>Grad Osijek nema</w:t>
      </w:r>
      <w:r w:rsidR="00E15AAB" w:rsidRPr="0065626A">
        <w:t xml:space="preserve"> </w:t>
      </w:r>
      <w:r w:rsidR="00187FBC">
        <w:t xml:space="preserve">dospjelih </w:t>
      </w:r>
      <w:r w:rsidR="00E15AAB" w:rsidRPr="0065626A">
        <w:t>neplaćenih obveza na dan 31. prosinca 2022.</w:t>
      </w:r>
    </w:p>
    <w:p w14:paraId="22F441ED" w14:textId="4FC1105A" w:rsidR="00E15AAB" w:rsidRDefault="00E15AAB" w:rsidP="00E15AAB">
      <w:pPr>
        <w:jc w:val="both"/>
      </w:pPr>
      <w:r>
        <w:tab/>
        <w:t xml:space="preserve">Nedospjele obveze Grada Osijeka čine kreditne obveze u iznosu 232.847.257,26 kn. Kreditne obveze temeljem dugoročnih kredita za investicije iznose 230.072.499,18 kn. Pregled istih dan je u bilješkama uz obrazac Bilanca. </w:t>
      </w:r>
      <w:r w:rsidRPr="00974F97">
        <w:t>Obveze temeljem beskamatnog kredita Ministarstva financija (odgoda obveze povrata poreza i prireza na dohodak u 2020.) iznose 2.774.758,09 kn.</w:t>
      </w:r>
      <w:r>
        <w:rPr>
          <w:b/>
        </w:rPr>
        <w:t xml:space="preserve"> </w:t>
      </w:r>
      <w:r w:rsidRPr="00974F97">
        <w:t>Obustave kredita izvršavaju se direktno s računa poreza i prireza na dohodak Grada Osijeka, sukladno izvršenoj uplati odgođene otplate.</w:t>
      </w:r>
      <w:r w:rsidRPr="00974F97">
        <w:tab/>
      </w:r>
      <w:r w:rsidR="00887B2C">
        <w:t>Obveze po financijskom leasingu za nabavu kombi vozila u iznosu 24.840,21 kn odnose se na OŠ Višnjevac.</w:t>
      </w:r>
    </w:p>
    <w:p w14:paraId="361FE8A0" w14:textId="7C3028D3" w:rsidR="00E94706" w:rsidRDefault="00E15AAB" w:rsidP="00E94706">
      <w:pPr>
        <w:tabs>
          <w:tab w:val="left" w:pos="2865"/>
          <w:tab w:val="center" w:pos="4536"/>
        </w:tabs>
        <w:jc w:val="both"/>
      </w:pPr>
      <w:r>
        <w:t>Nedospjele obveze Grada temeljem rashoda poslovanja u pravilu se odnose na plaću za prosinac 2022. te naknade vijećnicima, odborima i upravnim vijećima (vremenska razgraničenja), režijske troškove za prosinac 2022., račune za čišćenje i održavanje javnih površina grada i dr.</w:t>
      </w:r>
      <w:r w:rsidR="00E94706" w:rsidRPr="00E94706">
        <w:t xml:space="preserve"> </w:t>
      </w:r>
      <w:r w:rsidR="00E94706">
        <w:t>U okviru ovih obveza iskazane su i obveze za uplaćene jamčevine i depozite vezano za prihode Grada i provedene javne nabave i dr.</w:t>
      </w:r>
      <w:r w:rsidR="00187FBC">
        <w:t xml:space="preserve"> Nedospjele obveze proračunskih korisnika odnose se na plaću i materijalne rashode (u pravilu režijske troškove) za prosinac 2022. </w:t>
      </w:r>
    </w:p>
    <w:p w14:paraId="0F91DE64" w14:textId="012C1812" w:rsidR="00E15AAB" w:rsidRDefault="00E15AAB" w:rsidP="00E15AAB">
      <w:pPr>
        <w:tabs>
          <w:tab w:val="left" w:pos="709"/>
          <w:tab w:val="center" w:pos="4536"/>
        </w:tabs>
        <w:jc w:val="both"/>
      </w:pPr>
      <w:r>
        <w:t xml:space="preserve"> </w:t>
      </w:r>
    </w:p>
    <w:p w14:paraId="6A0D6C21" w14:textId="0D20DD6C" w:rsidR="00E15AAB" w:rsidRDefault="00187FBC" w:rsidP="00187FBC">
      <w:pPr>
        <w:tabs>
          <w:tab w:val="center" w:pos="709"/>
          <w:tab w:val="left" w:pos="1418"/>
        </w:tabs>
        <w:jc w:val="both"/>
      </w:pPr>
      <w:r>
        <w:tab/>
        <w:t xml:space="preserve">          </w:t>
      </w:r>
      <w:r w:rsidR="00E15AAB">
        <w:t>S 1.1.2023. poslovanje Grada Osijeka odvija se putem pune Riznice, odnosno plaćanja putem jednog žiro računa. Dakle, ugašeni su računi proračunskih korisnika i sredstva prenesena na račun Grada. Manji broj proračunskih korisnika uslijed tehnike zatvaranja računa i obaveza banaka uslijed prelaska na euro, nisu uspjeli zatvoriti račune s 31.12.2022., te su isto učinili u prvim danima 2023. Iskazana obveza Grada temeljem uplaćenih novčanih sredstava proračunskih korisnika iznosi 12.251.070,77 kn. Ove obveze iskazane su u okviru Međusobnih obveza subjekata unutar općeg proračuna</w:t>
      </w:r>
      <w:r>
        <w:t xml:space="preserve"> i u postupku konsolidacije se eliminiraju.</w:t>
      </w:r>
      <w:r w:rsidR="00E15AAB">
        <w:t xml:space="preserve"> </w:t>
      </w:r>
    </w:p>
    <w:p w14:paraId="1FFA2AF9" w14:textId="77777777" w:rsidR="00E15AAB" w:rsidRDefault="00E15AAB" w:rsidP="00E15AAB">
      <w:pPr>
        <w:tabs>
          <w:tab w:val="left" w:pos="2865"/>
          <w:tab w:val="center" w:pos="4536"/>
        </w:tabs>
        <w:jc w:val="both"/>
      </w:pPr>
      <w:r>
        <w:t>Obveze za rashode za nefinancijsku imovinu u pravilu su računi/situacije za izvršene radove i usluge u prosincu 2022. (ugovoreno dospijeće 30 dana).</w:t>
      </w:r>
    </w:p>
    <w:p w14:paraId="5B4F4508" w14:textId="77777777" w:rsidR="00E15AAB" w:rsidRDefault="00E15AAB" w:rsidP="00E15AAB">
      <w:pPr>
        <w:tabs>
          <w:tab w:val="left" w:pos="2865"/>
          <w:tab w:val="center" w:pos="4536"/>
        </w:tabs>
        <w:rPr>
          <w:b/>
        </w:rPr>
      </w:pPr>
    </w:p>
    <w:p w14:paraId="2125879A" w14:textId="650087F5" w:rsidR="000756C0" w:rsidRDefault="004812E0" w:rsidP="000756C0">
      <w:pPr>
        <w:jc w:val="both"/>
      </w:pPr>
      <w:r>
        <w:tab/>
        <w:t>Dospjele neplaćene obveze proračunskih korisnika iznose 112.938,84 kn i odnose se na rashode poslovanja.</w:t>
      </w:r>
      <w:r w:rsidR="000756C0">
        <w:t xml:space="preserve"> Pre</w:t>
      </w:r>
      <w:r>
        <w:t xml:space="preserve">gled po korisnicima dan je </w:t>
      </w:r>
      <w:r w:rsidR="000756C0">
        <w:t>u nastavku:</w:t>
      </w:r>
    </w:p>
    <w:tbl>
      <w:tblPr>
        <w:tblW w:w="5120" w:type="dxa"/>
        <w:tblLook w:val="04A0" w:firstRow="1" w:lastRow="0" w:firstColumn="1" w:lastColumn="0" w:noHBand="0" w:noVBand="1"/>
      </w:tblPr>
      <w:tblGrid>
        <w:gridCol w:w="2500"/>
        <w:gridCol w:w="2620"/>
      </w:tblGrid>
      <w:tr w:rsidR="002527F0" w:rsidRPr="002527F0" w14:paraId="7831F04C" w14:textId="77777777" w:rsidTr="002527F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BE0D" w14:textId="77777777" w:rsidR="002527F0" w:rsidRPr="002527F0" w:rsidRDefault="002527F0">
            <w:pPr>
              <w:rPr>
                <w:color w:val="000000"/>
                <w:sz w:val="22"/>
                <w:szCs w:val="22"/>
              </w:rPr>
            </w:pPr>
            <w:r w:rsidRPr="002527F0">
              <w:rPr>
                <w:color w:val="000000"/>
                <w:sz w:val="22"/>
                <w:szCs w:val="22"/>
              </w:rPr>
              <w:t>PKC Mađari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E4EB" w14:textId="77777777" w:rsidR="002527F0" w:rsidRPr="002527F0" w:rsidRDefault="002527F0">
            <w:pPr>
              <w:jc w:val="right"/>
              <w:rPr>
                <w:color w:val="000000"/>
                <w:sz w:val="22"/>
                <w:szCs w:val="22"/>
              </w:rPr>
            </w:pPr>
            <w:r w:rsidRPr="002527F0">
              <w:rPr>
                <w:color w:val="000000"/>
                <w:sz w:val="22"/>
                <w:szCs w:val="22"/>
              </w:rPr>
              <w:t>79.530,00</w:t>
            </w:r>
          </w:p>
        </w:tc>
      </w:tr>
      <w:tr w:rsidR="002527F0" w:rsidRPr="002527F0" w14:paraId="05DF0369" w14:textId="77777777" w:rsidTr="002527F0">
        <w:trPr>
          <w:trHeight w:val="6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C8726" w14:textId="77777777" w:rsidR="002527F0" w:rsidRPr="002527F0" w:rsidRDefault="002527F0">
            <w:pPr>
              <w:rPr>
                <w:color w:val="000000"/>
                <w:sz w:val="22"/>
                <w:szCs w:val="22"/>
              </w:rPr>
            </w:pPr>
            <w:r w:rsidRPr="002527F0">
              <w:rPr>
                <w:color w:val="000000"/>
                <w:sz w:val="22"/>
                <w:szCs w:val="22"/>
              </w:rPr>
              <w:t>Agencija za obnovu i razvoj Tvrđe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9A3D" w14:textId="77777777" w:rsidR="002527F0" w:rsidRPr="002527F0" w:rsidRDefault="002527F0">
            <w:pPr>
              <w:jc w:val="right"/>
              <w:rPr>
                <w:color w:val="000000"/>
                <w:sz w:val="22"/>
                <w:szCs w:val="22"/>
              </w:rPr>
            </w:pPr>
            <w:r w:rsidRPr="002527F0">
              <w:rPr>
                <w:color w:val="000000"/>
                <w:sz w:val="22"/>
                <w:szCs w:val="22"/>
              </w:rPr>
              <w:t>33.075,20</w:t>
            </w:r>
          </w:p>
        </w:tc>
      </w:tr>
      <w:tr w:rsidR="002527F0" w:rsidRPr="002527F0" w14:paraId="453D101E" w14:textId="77777777" w:rsidTr="002527F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802D" w14:textId="77777777" w:rsidR="002527F0" w:rsidRPr="002527F0" w:rsidRDefault="002527F0">
            <w:pPr>
              <w:rPr>
                <w:color w:val="000000"/>
                <w:sz w:val="22"/>
                <w:szCs w:val="22"/>
              </w:rPr>
            </w:pPr>
            <w:r w:rsidRPr="002527F0">
              <w:rPr>
                <w:color w:val="000000"/>
                <w:sz w:val="22"/>
                <w:szCs w:val="22"/>
              </w:rPr>
              <w:t>OŠ Dobriša Cesarić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1E8F" w14:textId="77777777" w:rsidR="002527F0" w:rsidRPr="002527F0" w:rsidRDefault="002527F0">
            <w:pPr>
              <w:jc w:val="right"/>
              <w:rPr>
                <w:color w:val="000000"/>
                <w:sz w:val="22"/>
                <w:szCs w:val="22"/>
              </w:rPr>
            </w:pPr>
            <w:r w:rsidRPr="002527F0">
              <w:rPr>
                <w:color w:val="000000"/>
                <w:sz w:val="22"/>
                <w:szCs w:val="22"/>
              </w:rPr>
              <w:t>333,64</w:t>
            </w:r>
          </w:p>
        </w:tc>
      </w:tr>
      <w:tr w:rsidR="002527F0" w:rsidRPr="002527F0" w14:paraId="1796E041" w14:textId="77777777" w:rsidTr="002527F0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02344" w14:textId="5E47B91B" w:rsidR="002527F0" w:rsidRPr="002527F0" w:rsidRDefault="002527F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5D5C5" w14:textId="54766D30" w:rsidR="002527F0" w:rsidRPr="002527F0" w:rsidRDefault="002527F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755CEDD" w14:textId="77777777" w:rsidR="000756C0" w:rsidRPr="002527F0" w:rsidRDefault="000756C0" w:rsidP="000756C0">
      <w:pPr>
        <w:jc w:val="both"/>
      </w:pPr>
    </w:p>
    <w:p w14:paraId="21EDC4E9" w14:textId="77777777" w:rsidR="000756C0" w:rsidRPr="00A2429E" w:rsidRDefault="000756C0" w:rsidP="000756C0">
      <w:pPr>
        <w:jc w:val="center"/>
        <w:rPr>
          <w:highlight w:val="yellow"/>
        </w:rPr>
      </w:pPr>
    </w:p>
    <w:p w14:paraId="39A7E334" w14:textId="77777777" w:rsidR="000756C0" w:rsidRDefault="000756C0" w:rsidP="000756C0">
      <w:pPr>
        <w:jc w:val="both"/>
        <w:rPr>
          <w:highlight w:val="yellow"/>
        </w:rPr>
      </w:pPr>
    </w:p>
    <w:p w14:paraId="23164CA8" w14:textId="77777777" w:rsidR="006F3B24" w:rsidRPr="00E917D7" w:rsidRDefault="006F3B24" w:rsidP="006F3B24">
      <w:pPr>
        <w:tabs>
          <w:tab w:val="left" w:pos="2865"/>
          <w:tab w:val="center" w:pos="4536"/>
        </w:tabs>
        <w:rPr>
          <w:b/>
        </w:rPr>
      </w:pPr>
      <w:r>
        <w:rPr>
          <w:b/>
        </w:rPr>
        <w:lastRenderedPageBreak/>
        <w:tab/>
      </w:r>
      <w:r w:rsidRPr="00E917D7">
        <w:rPr>
          <w:b/>
        </w:rPr>
        <w:t xml:space="preserve">BILJEŠKE UZ P-VRIO </w:t>
      </w:r>
    </w:p>
    <w:p w14:paraId="29879A8E" w14:textId="77777777" w:rsidR="006F3B24" w:rsidRPr="00E917D7" w:rsidRDefault="006F3B24" w:rsidP="006F3B24">
      <w:pPr>
        <w:jc w:val="center"/>
        <w:rPr>
          <w:b/>
        </w:rPr>
      </w:pPr>
    </w:p>
    <w:p w14:paraId="5241050A" w14:textId="77777777" w:rsidR="006F3B24" w:rsidRPr="00E917D7" w:rsidRDefault="006F3B24" w:rsidP="006F3B24">
      <w:pPr>
        <w:ind w:firstLine="708"/>
        <w:jc w:val="both"/>
      </w:pPr>
      <w:r w:rsidRPr="00E917D7">
        <w:t>Iskazana stanja u obrascu P-VRIO na dan 31.12.202</w:t>
      </w:r>
      <w:r>
        <w:t>2</w:t>
      </w:r>
      <w:r w:rsidRPr="00E917D7">
        <w:t>.  rezultat su sljedećih transakcija:</w:t>
      </w:r>
    </w:p>
    <w:p w14:paraId="236B271A" w14:textId="77777777" w:rsidR="006F3B24" w:rsidRPr="00E917D7" w:rsidRDefault="006F3B24" w:rsidP="006F3B24">
      <w:pPr>
        <w:jc w:val="both"/>
      </w:pPr>
    </w:p>
    <w:p w14:paraId="60C7DB72" w14:textId="77777777" w:rsidR="006F3B24" w:rsidRDefault="006F3B24" w:rsidP="006F3B24">
      <w:pPr>
        <w:ind w:left="1410" w:hanging="1410"/>
        <w:jc w:val="both"/>
      </w:pPr>
      <w:r w:rsidRPr="00007C9D">
        <w:rPr>
          <w:b/>
        </w:rPr>
        <w:t>P002</w:t>
      </w:r>
      <w:r w:rsidRPr="00E917D7">
        <w:tab/>
        <w:t>Iskazano povećanje odnosi se na razliku između iskazane vrijednosti zemljišta u Bilanci Grada Osijeka i cijene temeljem koje je izvršen</w:t>
      </w:r>
      <w:r>
        <w:t>a prodaj</w:t>
      </w:r>
      <w:r w:rsidR="008178EA">
        <w:t>a.</w:t>
      </w:r>
      <w:r w:rsidRPr="00E917D7">
        <w:t xml:space="preserve"> </w:t>
      </w:r>
    </w:p>
    <w:p w14:paraId="24D18581" w14:textId="77777777" w:rsidR="00DA17CA" w:rsidRPr="00E917D7" w:rsidRDefault="00DA17CA" w:rsidP="006F3B24">
      <w:pPr>
        <w:ind w:left="1410" w:hanging="1410"/>
        <w:jc w:val="both"/>
      </w:pPr>
    </w:p>
    <w:p w14:paraId="6E3A9DCC" w14:textId="56870673" w:rsidR="006F3B24" w:rsidRDefault="006F3B24" w:rsidP="006F3B24">
      <w:pPr>
        <w:ind w:left="1410" w:hanging="1410"/>
        <w:jc w:val="both"/>
      </w:pPr>
      <w:r w:rsidRPr="00007C9D">
        <w:rPr>
          <w:b/>
        </w:rPr>
        <w:t>P003</w:t>
      </w:r>
      <w:r>
        <w:tab/>
        <w:t xml:space="preserve">Povećanje u okviru ove šifre vezano je za usklađenje knjigovodstvene vrijednosti prodanih stanova sa kupoprodajnom cijenom u iznosu 1.515.979,48 kn te usklađenje s kupoprodajnom cijenom poslovnog prostora na adresi </w:t>
      </w:r>
      <w:proofErr w:type="spellStart"/>
      <w:r>
        <w:t>A.Starčevića</w:t>
      </w:r>
      <w:proofErr w:type="spellEnd"/>
      <w:r>
        <w:t xml:space="preserve"> 7 u iznosu 1</w:t>
      </w:r>
      <w:r w:rsidR="00F74ECD">
        <w:t>.</w:t>
      </w:r>
      <w:r>
        <w:t>519.470,95 kn (zamjena poslovnih prostora s RH). Povećanje u iznosu 1.850.000,00 kn odnosi se na usklađenje knjigovodstvene i procijenjene vrijednosti sportske dvorane kojom je dokapitalizirano društvo Športski objekti d.o.o. Iskazano smanjenje u iznosu 275.987,83 kn također je vezano za usklađenje knjigovodstvene i kupoprodajne cijene stanova prodanih hrvatskim ratnim vojnim invalidima.</w:t>
      </w:r>
      <w:r w:rsidR="008178EA">
        <w:t xml:space="preserve"> Iznos od 247,59 kn vezan je za otpis imovine Dječjeg kazališta Branka Mihaljevića, a 279,41 kn OŠ Ivana Filipovića.</w:t>
      </w:r>
    </w:p>
    <w:p w14:paraId="151153BB" w14:textId="2387584B" w:rsidR="008178EA" w:rsidRDefault="008178EA" w:rsidP="006F3B24">
      <w:pPr>
        <w:ind w:left="1410" w:hanging="1410"/>
        <w:jc w:val="both"/>
      </w:pPr>
    </w:p>
    <w:p w14:paraId="59C47ED6" w14:textId="77777777" w:rsidR="006F3B24" w:rsidRDefault="006F3B24" w:rsidP="006F3B24">
      <w:pPr>
        <w:ind w:left="1410" w:hanging="1410"/>
        <w:jc w:val="both"/>
      </w:pPr>
      <w:r>
        <w:rPr>
          <w:b/>
        </w:rPr>
        <w:t>P007</w:t>
      </w:r>
      <w:r>
        <w:rPr>
          <w:b/>
        </w:rPr>
        <w:tab/>
      </w:r>
      <w:r w:rsidRPr="006E4377">
        <w:t>Iskazano povećanje i smanjenje razlika je između knjigovodstvene i prodajne cijene ra</w:t>
      </w:r>
      <w:r>
        <w:t>čunalne i komunikacijske opreme koja je prodana djelatnicima sukladno internim aktima.</w:t>
      </w:r>
    </w:p>
    <w:p w14:paraId="0F2E1044" w14:textId="77777777" w:rsidR="00DA17CA" w:rsidRPr="006E4377" w:rsidRDefault="00DA17CA" w:rsidP="006F3B24">
      <w:pPr>
        <w:ind w:left="1410" w:hanging="1410"/>
        <w:jc w:val="both"/>
      </w:pPr>
    </w:p>
    <w:p w14:paraId="6242CEF4" w14:textId="6AE8ED35" w:rsidR="006F3B24" w:rsidRDefault="006F3B24" w:rsidP="006F3B24">
      <w:pPr>
        <w:ind w:left="1410" w:hanging="1410"/>
        <w:jc w:val="both"/>
      </w:pPr>
      <w:r w:rsidRPr="003640CE">
        <w:rPr>
          <w:b/>
          <w:bCs/>
        </w:rPr>
        <w:t>P013</w:t>
      </w:r>
      <w:r w:rsidRPr="00E917D7">
        <w:tab/>
        <w:t>Iskazan</w:t>
      </w:r>
      <w:r>
        <w:t>o</w:t>
      </w:r>
      <w:r w:rsidRPr="00E917D7">
        <w:t xml:space="preserve"> </w:t>
      </w:r>
      <w:r>
        <w:t>povećanje vezano</w:t>
      </w:r>
      <w:r w:rsidRPr="00E917D7">
        <w:t xml:space="preserve"> </w:t>
      </w:r>
      <w:r>
        <w:t>je</w:t>
      </w:r>
      <w:r w:rsidRPr="00E917D7">
        <w:t xml:space="preserve"> za otkup poslovn</w:t>
      </w:r>
      <w:r>
        <w:t>og</w:t>
      </w:r>
      <w:r w:rsidRPr="00E917D7">
        <w:t xml:space="preserve"> udjela u trgovačk</w:t>
      </w:r>
      <w:r>
        <w:t>om društvu</w:t>
      </w:r>
      <w:r w:rsidRPr="00E917D7">
        <w:t xml:space="preserve"> </w:t>
      </w:r>
      <w:r>
        <w:t>Vodovod-Osijek</w:t>
      </w:r>
      <w:r w:rsidRPr="00E917D7">
        <w:t xml:space="preserve"> d.o.o. od Općine</w:t>
      </w:r>
      <w:r>
        <w:t xml:space="preserve"> Semeljci, o</w:t>
      </w:r>
      <w:r w:rsidRPr="00E917D7">
        <w:t>dnosno razliku u  nominalnoj vrijednosti poslovnih udjela</w:t>
      </w:r>
      <w:r>
        <w:t xml:space="preserve"> koja iznosi 1.849.000,00 kn</w:t>
      </w:r>
      <w:r w:rsidRPr="00E917D7">
        <w:t xml:space="preserve"> i izvršene naknade</w:t>
      </w:r>
      <w:r>
        <w:t xml:space="preserve"> </w:t>
      </w:r>
      <w:r w:rsidR="00831348">
        <w:t>i</w:t>
      </w:r>
      <w:r>
        <w:t xml:space="preserve"> iznosi 213.499,94 kn. Iskazano smanjenje u iznosu 10.045,60 vezano je za prodaju dionica Optima Telekom po cijeni manjoj od nominalne.</w:t>
      </w:r>
    </w:p>
    <w:p w14:paraId="342606AB" w14:textId="77777777" w:rsidR="00DA17CA" w:rsidRDefault="00DA17CA" w:rsidP="006F3B24">
      <w:pPr>
        <w:ind w:left="1410" w:hanging="1410"/>
        <w:jc w:val="both"/>
      </w:pPr>
    </w:p>
    <w:p w14:paraId="259E0B8F" w14:textId="33C29C66" w:rsidR="008178EA" w:rsidRDefault="008178EA" w:rsidP="006F3B24">
      <w:pPr>
        <w:ind w:left="1410" w:hanging="1410"/>
        <w:jc w:val="both"/>
      </w:pPr>
      <w:r>
        <w:rPr>
          <w:b/>
          <w:bCs/>
        </w:rPr>
        <w:t>P014</w:t>
      </w:r>
      <w:r>
        <w:rPr>
          <w:b/>
          <w:bCs/>
        </w:rPr>
        <w:tab/>
      </w:r>
      <w:r w:rsidRPr="008178EA">
        <w:t xml:space="preserve">Iskazano smanjenje odnosi se na </w:t>
      </w:r>
      <w:r w:rsidR="00257DDE">
        <w:t>ispravak</w:t>
      </w:r>
      <w:r w:rsidRPr="008178EA">
        <w:t xml:space="preserve"> potraživanja OŠ Ljudevit Gaj u iznosu 32.397,37 kn i OŠ Grigor Vitez 21.562,17 kn.</w:t>
      </w:r>
    </w:p>
    <w:p w14:paraId="2D89CD1C" w14:textId="77777777" w:rsidR="00DA17CA" w:rsidRPr="008178EA" w:rsidRDefault="00DA17CA" w:rsidP="006F3B24">
      <w:pPr>
        <w:ind w:left="1410" w:hanging="1410"/>
        <w:jc w:val="both"/>
      </w:pPr>
    </w:p>
    <w:p w14:paraId="380A401B" w14:textId="77777777" w:rsidR="006F3B24" w:rsidRDefault="006F3B24" w:rsidP="006F3B24">
      <w:pPr>
        <w:ind w:left="1410" w:hanging="1410"/>
        <w:jc w:val="both"/>
      </w:pPr>
      <w:r w:rsidRPr="00007C9D">
        <w:rPr>
          <w:b/>
        </w:rPr>
        <w:t>P015</w:t>
      </w:r>
      <w:r>
        <w:tab/>
        <w:t>Iskazano smanjenje vezano je za usklađenje s evidencijom prodaje stanova na obročnu otplatu koju za Grad ugovorno vodi Zavod za stanovanje d.o.o.</w:t>
      </w:r>
    </w:p>
    <w:p w14:paraId="643C07AE" w14:textId="77777777" w:rsidR="00DA17CA" w:rsidRDefault="00DA17CA" w:rsidP="006F3B24">
      <w:pPr>
        <w:ind w:left="1410" w:hanging="1410"/>
        <w:jc w:val="both"/>
      </w:pPr>
    </w:p>
    <w:p w14:paraId="422B2DBA" w14:textId="77777777" w:rsidR="00BA6704" w:rsidRDefault="006F3B24" w:rsidP="006F3B24">
      <w:pPr>
        <w:ind w:left="1410" w:hanging="1410"/>
        <w:jc w:val="both"/>
      </w:pPr>
      <w:r w:rsidRPr="00007C9D">
        <w:rPr>
          <w:b/>
        </w:rPr>
        <w:t>P017</w:t>
      </w:r>
      <w:r>
        <w:tab/>
        <w:t>Iskazano povećanje vezano je za uknjižbu zemljišta za koja nije bila iskazana vrijednost u poslovnim knjigama Grada Osijeka</w:t>
      </w:r>
      <w:r w:rsidR="00DA17CA">
        <w:t xml:space="preserve"> u iznosu 4.267.528,39 kn, dok je smanjenje u iznosu 2.159,00 kn vezano za OŠ Ljudevit Gaj. </w:t>
      </w:r>
    </w:p>
    <w:p w14:paraId="7C4A2100" w14:textId="041F5C79" w:rsidR="006F3B24" w:rsidRDefault="00DA17CA" w:rsidP="006F3B24">
      <w:pPr>
        <w:ind w:left="1410" w:hanging="1410"/>
        <w:jc w:val="both"/>
      </w:pPr>
      <w:r>
        <w:t xml:space="preserve"> </w:t>
      </w:r>
    </w:p>
    <w:p w14:paraId="42E0EAFF" w14:textId="77777777" w:rsidR="006F3B24" w:rsidRPr="00E917D7" w:rsidRDefault="006F3B24" w:rsidP="006F3B24">
      <w:pPr>
        <w:ind w:left="1410" w:hanging="1410"/>
        <w:jc w:val="both"/>
      </w:pPr>
      <w:r w:rsidRPr="00EC4034">
        <w:rPr>
          <w:b/>
          <w:bCs/>
        </w:rPr>
        <w:t>P018</w:t>
      </w:r>
      <w:r>
        <w:tab/>
        <w:t xml:space="preserve">Iskazano povećanje </w:t>
      </w:r>
      <w:r w:rsidRPr="00E917D7">
        <w:t>rezultat je dolje navedenih promjena.</w:t>
      </w:r>
    </w:p>
    <w:p w14:paraId="49A404FD" w14:textId="77777777" w:rsidR="006F3B24" w:rsidRDefault="006F3B24" w:rsidP="006F3B24">
      <w:pPr>
        <w:jc w:val="both"/>
      </w:pPr>
      <w:r w:rsidRPr="00E917D7">
        <w:tab/>
      </w:r>
      <w:r w:rsidRPr="00E917D7">
        <w:tab/>
        <w:t>U evidenciju imovine izvršena su sljedeća uknjiženja:</w:t>
      </w:r>
    </w:p>
    <w:p w14:paraId="34603B46" w14:textId="77777777" w:rsidR="006F3B24" w:rsidRDefault="006F3B24" w:rsidP="006F3B24">
      <w:pPr>
        <w:ind w:left="1416"/>
        <w:jc w:val="both"/>
      </w:pPr>
      <w:r>
        <w:t>Ulaganja i sportske objekte temeljem rješavanja imovinsko-pravnih odnosa sa društvom Športski objekti d.o.o. (amortizirana vrijednost) u iznosu 18.881.398,64 kn</w:t>
      </w:r>
    </w:p>
    <w:p w14:paraId="6ACEAC57" w14:textId="77777777" w:rsidR="006F3B24" w:rsidRDefault="006F3B24" w:rsidP="006F3B24">
      <w:pPr>
        <w:jc w:val="both"/>
      </w:pPr>
      <w:r>
        <w:tab/>
      </w:r>
      <w:r>
        <w:tab/>
        <w:t xml:space="preserve">Sportski centar </w:t>
      </w:r>
      <w:proofErr w:type="spellStart"/>
      <w:r>
        <w:t>Mačkamama</w:t>
      </w:r>
      <w:proofErr w:type="spellEnd"/>
      <w:r>
        <w:t xml:space="preserve"> procijenjene vrijednosti 13.190.000,00 kn</w:t>
      </w:r>
    </w:p>
    <w:p w14:paraId="15B6837D" w14:textId="77777777" w:rsidR="006F3B24" w:rsidRDefault="006F3B24" w:rsidP="006F3B24">
      <w:pPr>
        <w:jc w:val="both"/>
      </w:pPr>
      <w:r>
        <w:tab/>
      </w:r>
      <w:r>
        <w:tab/>
        <w:t>Omladinski park Elektra procijenjene vrijednosti 4.520.000,00 kn</w:t>
      </w:r>
    </w:p>
    <w:p w14:paraId="15DF0BE2" w14:textId="77777777" w:rsidR="006F3B24" w:rsidRDefault="006F3B24" w:rsidP="006F3B24">
      <w:pPr>
        <w:jc w:val="both"/>
      </w:pPr>
      <w:r>
        <w:tab/>
      </w:r>
      <w:r>
        <w:tab/>
        <w:t>Dom željezničara , Radićeva 17 procijenjene vrijednosti 3.010.000,00 kn</w:t>
      </w:r>
    </w:p>
    <w:p w14:paraId="28D79CCB" w14:textId="77777777" w:rsidR="006F3B24" w:rsidRDefault="006F3B24" w:rsidP="006F3B24">
      <w:pPr>
        <w:ind w:left="708" w:firstLine="708"/>
        <w:jc w:val="both"/>
      </w:pPr>
      <w:r>
        <w:t>Stara kuglana, Strossmayerova 92 procijenjene vrijednosti 1.740.000,00 kn</w:t>
      </w:r>
    </w:p>
    <w:p w14:paraId="72A6DA5B" w14:textId="77777777" w:rsidR="006F3B24" w:rsidRDefault="006F3B24" w:rsidP="006F3B24">
      <w:pPr>
        <w:ind w:left="1410"/>
        <w:jc w:val="both"/>
      </w:pPr>
      <w:r>
        <w:lastRenderedPageBreak/>
        <w:t xml:space="preserve">Ulaganja u groblja iz razdoblja 2008.-2010. (amortizirana vrijednost) u iznosu 1.529.762,62 kn </w:t>
      </w:r>
    </w:p>
    <w:p w14:paraId="0613C142" w14:textId="77777777" w:rsidR="006F3B24" w:rsidRDefault="006F3B24" w:rsidP="006F3B24">
      <w:pPr>
        <w:ind w:left="1412"/>
        <w:jc w:val="both"/>
      </w:pPr>
      <w:r>
        <w:t xml:space="preserve">Uknjiženje 1/3 udjela Grada u suvlasništvu nad nekretninama (stan), adresa Stanka Vraza 8 i 9. u iznosu 184.000,00 kn. Preostale 2/3 otkupljene su u 2022. od Pučkog učilišta Osijek </w:t>
      </w:r>
    </w:p>
    <w:p w14:paraId="3EE9BF8B" w14:textId="77777777" w:rsidR="006F3B24" w:rsidRDefault="006F3B24" w:rsidP="006F3B24">
      <w:pPr>
        <w:ind w:left="1412"/>
        <w:jc w:val="both"/>
      </w:pPr>
      <w:r>
        <w:t>Uknjiženje poslovnog prostora Trg Ante Starčevića u iznosu 5.594,00 kn.</w:t>
      </w:r>
    </w:p>
    <w:p w14:paraId="286604AD" w14:textId="77777777" w:rsidR="006F3B24" w:rsidRDefault="006F3B24" w:rsidP="006F3B24">
      <w:pPr>
        <w:ind w:left="1412"/>
        <w:jc w:val="both"/>
      </w:pPr>
      <w:r>
        <w:t>Uknjiženje 9 stanova po vrijednosti 1,00 kn.</w:t>
      </w:r>
    </w:p>
    <w:p w14:paraId="6B9416C8" w14:textId="7EE383D6" w:rsidR="00BA6704" w:rsidRDefault="00BA6704" w:rsidP="006F3B24">
      <w:pPr>
        <w:ind w:left="1412"/>
        <w:jc w:val="both"/>
      </w:pPr>
      <w:r>
        <w:t xml:space="preserve">Dječji vrtić Osijek-uknjiženje </w:t>
      </w:r>
      <w:r w:rsidR="00257DDE">
        <w:t>imovine stanovi procijenjene vrijednosti 846.107,73 kn.</w:t>
      </w:r>
    </w:p>
    <w:p w14:paraId="49862FC7" w14:textId="64B4AB49" w:rsidR="00DA17CA" w:rsidRDefault="00DA17CA" w:rsidP="00DA17CA">
      <w:pPr>
        <w:ind w:left="1410" w:hanging="1410"/>
        <w:jc w:val="both"/>
      </w:pPr>
      <w:r>
        <w:tab/>
        <w:t xml:space="preserve">Javna vatrogasna postrojba Grada Osijek -prijenos opreme </w:t>
      </w:r>
      <w:r w:rsidR="00257DDE">
        <w:t xml:space="preserve">u vrijednosti 86.645,00 kn </w:t>
      </w:r>
      <w:r>
        <w:t>od strane Hrvatske vatrogasne zajednice</w:t>
      </w:r>
      <w:r w:rsidR="00BA6704">
        <w:t>.</w:t>
      </w:r>
    </w:p>
    <w:p w14:paraId="6B6D3783" w14:textId="66FC31F4" w:rsidR="00BA6704" w:rsidRDefault="00BA6704" w:rsidP="00DA17CA">
      <w:pPr>
        <w:ind w:left="1410" w:hanging="1410"/>
        <w:jc w:val="both"/>
      </w:pPr>
      <w:r>
        <w:tab/>
        <w:t>OŠ Josipovac-povećanje u iznosu 6.227,91 za donirane knjige.</w:t>
      </w:r>
    </w:p>
    <w:p w14:paraId="54855803" w14:textId="47167ABA" w:rsidR="00BA6704" w:rsidRDefault="00BA6704" w:rsidP="00DA17CA">
      <w:pPr>
        <w:ind w:left="1410" w:hanging="1410"/>
        <w:jc w:val="both"/>
      </w:pPr>
      <w:r>
        <w:tab/>
        <w:t>OŠ Antun Mihanović-povećanje u iznosu 8.746,68 kn za opremu</w:t>
      </w:r>
    </w:p>
    <w:p w14:paraId="39ECB91C" w14:textId="1D271CCD" w:rsidR="00DA17CA" w:rsidRDefault="00DA17CA" w:rsidP="006F3B24">
      <w:pPr>
        <w:ind w:left="1412"/>
        <w:jc w:val="both"/>
      </w:pPr>
      <w:r>
        <w:t>Smanjenje je rezultat sljedećih promjena:</w:t>
      </w:r>
    </w:p>
    <w:p w14:paraId="6CCE17C5" w14:textId="6114EE2C" w:rsidR="006F3B24" w:rsidRDefault="006F3B24" w:rsidP="006F3B24">
      <w:pPr>
        <w:ind w:left="1412"/>
        <w:jc w:val="both"/>
      </w:pPr>
      <w:proofErr w:type="spellStart"/>
      <w:r>
        <w:t>Isknjiženje</w:t>
      </w:r>
      <w:proofErr w:type="spellEnd"/>
      <w:r>
        <w:t xml:space="preserve"> stanova</w:t>
      </w:r>
      <w:r w:rsidR="00DA17CA">
        <w:t xml:space="preserve"> u vlasništvu Grada Osijeka</w:t>
      </w:r>
      <w:r>
        <w:t xml:space="preserve"> (amortizirana vrijednost) u iznosu 258.156,49 kn.</w:t>
      </w:r>
    </w:p>
    <w:p w14:paraId="7B01F947" w14:textId="251D52E1" w:rsidR="00BA6704" w:rsidRDefault="00257DDE" w:rsidP="006F3B24">
      <w:pPr>
        <w:ind w:left="1412"/>
        <w:jc w:val="both"/>
      </w:pPr>
      <w:r>
        <w:t>OŠ Grigor Vitez-</w:t>
      </w:r>
      <w:bookmarkStart w:id="0" w:name="_Hlk128385223"/>
      <w:proofErr w:type="spellStart"/>
      <w:r>
        <w:t>i</w:t>
      </w:r>
      <w:r w:rsidR="00BA6704">
        <w:t>sknjiženje</w:t>
      </w:r>
      <w:proofErr w:type="spellEnd"/>
      <w:r w:rsidR="00BA6704">
        <w:t xml:space="preserve"> rashodovane imovine u iznosu 4.864,62 kn</w:t>
      </w:r>
      <w:r>
        <w:t>.</w:t>
      </w:r>
    </w:p>
    <w:bookmarkEnd w:id="0"/>
    <w:p w14:paraId="241E5FFF" w14:textId="3E412879" w:rsidR="00257DDE" w:rsidRDefault="00257DDE" w:rsidP="00257DDE">
      <w:pPr>
        <w:ind w:left="1412"/>
        <w:jc w:val="both"/>
      </w:pPr>
      <w:r>
        <w:t>Agencija za obnovu osječke Tvrđe-</w:t>
      </w:r>
      <w:r w:rsidRPr="00257DDE">
        <w:t xml:space="preserve"> </w:t>
      </w:r>
      <w:r>
        <w:t>otpis imovine u iznosu 8.144,50 kn.</w:t>
      </w:r>
    </w:p>
    <w:p w14:paraId="64BA897D" w14:textId="633970F3" w:rsidR="00257DDE" w:rsidRDefault="00257DDE" w:rsidP="00257DDE">
      <w:pPr>
        <w:ind w:left="1412"/>
        <w:jc w:val="both"/>
      </w:pPr>
    </w:p>
    <w:p w14:paraId="3FE7966F" w14:textId="2A635B27" w:rsidR="00257DDE" w:rsidRDefault="00257DDE" w:rsidP="00257DDE">
      <w:pPr>
        <w:ind w:left="1410" w:hanging="1410"/>
        <w:jc w:val="both"/>
      </w:pPr>
      <w:r w:rsidRPr="00257DDE">
        <w:rPr>
          <w:b/>
          <w:bCs/>
        </w:rPr>
        <w:t>P020</w:t>
      </w:r>
      <w:r>
        <w:tab/>
      </w:r>
      <w:r w:rsidR="002527F0">
        <w:t xml:space="preserve">Iskazano povećanje vezano je za prijenos sitnog inventara u vrijednosti 17.677,00 kn od strane Hrvatske vatrogasne zajednice </w:t>
      </w:r>
      <w:r>
        <w:tab/>
        <w:t>Javn</w:t>
      </w:r>
      <w:r w:rsidR="002527F0">
        <w:t>oj</w:t>
      </w:r>
      <w:r>
        <w:t xml:space="preserve"> vatrogasn</w:t>
      </w:r>
      <w:r w:rsidR="002527F0">
        <w:t>oj</w:t>
      </w:r>
      <w:r>
        <w:t xml:space="preserve"> postrojb</w:t>
      </w:r>
      <w:r w:rsidR="002527F0">
        <w:t>i</w:t>
      </w:r>
      <w:r>
        <w:t xml:space="preserve"> Grada Osijek</w:t>
      </w:r>
      <w:r w:rsidR="002527F0">
        <w:t>a.</w:t>
      </w:r>
    </w:p>
    <w:p w14:paraId="2DAF13BD" w14:textId="021BF1AE" w:rsidR="00257DDE" w:rsidRDefault="00257DDE" w:rsidP="00257DDE">
      <w:pPr>
        <w:ind w:left="-142"/>
        <w:jc w:val="both"/>
      </w:pPr>
    </w:p>
    <w:p w14:paraId="212B1223" w14:textId="40ACC2BB" w:rsidR="00257DDE" w:rsidRDefault="00257DDE" w:rsidP="00257DDE">
      <w:pPr>
        <w:ind w:left="1410" w:hanging="1410"/>
        <w:jc w:val="both"/>
      </w:pPr>
      <w:r w:rsidRPr="00257DDE">
        <w:rPr>
          <w:b/>
          <w:bCs/>
        </w:rPr>
        <w:t>P022</w:t>
      </w:r>
      <w:r>
        <w:tab/>
      </w:r>
      <w:r w:rsidR="002527F0">
        <w:t>Iskazano povećanje vezano je za</w:t>
      </w:r>
      <w:r w:rsidR="002527F0" w:rsidRPr="002527F0">
        <w:t xml:space="preserve"> </w:t>
      </w:r>
      <w:r w:rsidR="002527F0">
        <w:t xml:space="preserve">prijenos kratkotrajne imovine u vrijednosti 116.195,00 kn od strane Hrvatske vatrogasne zajednice </w:t>
      </w:r>
      <w:r>
        <w:t>Javn</w:t>
      </w:r>
      <w:r w:rsidR="002527F0">
        <w:t>oj</w:t>
      </w:r>
      <w:r>
        <w:t xml:space="preserve"> vatrogasn</w:t>
      </w:r>
      <w:r w:rsidR="002527F0">
        <w:t>oj</w:t>
      </w:r>
      <w:r>
        <w:t xml:space="preserve"> postrojb</w:t>
      </w:r>
      <w:r w:rsidR="002527F0">
        <w:t>i</w:t>
      </w:r>
      <w:r>
        <w:t xml:space="preserve"> Grada Osijek</w:t>
      </w:r>
      <w:r w:rsidR="002527F0">
        <w:t>a.</w:t>
      </w:r>
    </w:p>
    <w:p w14:paraId="3972BFE0" w14:textId="77777777" w:rsidR="006F3B24" w:rsidRDefault="006F3B24" w:rsidP="006F3B24">
      <w:pPr>
        <w:ind w:left="1412"/>
        <w:jc w:val="both"/>
      </w:pPr>
    </w:p>
    <w:p w14:paraId="0237D004" w14:textId="77777777" w:rsidR="006F3B24" w:rsidRDefault="006F3B24" w:rsidP="006F3B24">
      <w:pPr>
        <w:ind w:left="1418" w:hanging="1418"/>
        <w:jc w:val="both"/>
      </w:pPr>
      <w:r w:rsidRPr="00CE1B90">
        <w:rPr>
          <w:b/>
        </w:rPr>
        <w:t>P026</w:t>
      </w:r>
      <w:r>
        <w:tab/>
        <w:t xml:space="preserve">Iskazano smanjenje u iznosu 18.098.597,26 kn odnosi se na </w:t>
      </w:r>
      <w:proofErr w:type="spellStart"/>
      <w:r>
        <w:t>isknjiženje</w:t>
      </w:r>
      <w:proofErr w:type="spellEnd"/>
      <w:r>
        <w:t xml:space="preserve"> potraživanja iz ranijih godina temeljem plaćenih jamstava za kredite društva u većinskom vlasništvu Grada Osijeka Športski objekti d.o.o. Obzirom da su predmetna jamstva bila vezana za ulaganju u sportske objekte koji sukladno Zakonu o sportu mogu biti imovina samo nadležne JLP®S ili Republike Hrvatske, društvo Športski objekti d.o.o. prenijelo je predmetnu imovinu Gradu Osijeku koji je istu evidentirao u poslovnim knjigama i sukladno navedenom izvršen je ispravak predmetnih potraživanja.</w:t>
      </w:r>
    </w:p>
    <w:p w14:paraId="16D0A56F" w14:textId="77777777" w:rsidR="00C50B27" w:rsidRPr="00E917D7" w:rsidRDefault="00C50B27" w:rsidP="006F3B24">
      <w:pPr>
        <w:ind w:left="1418" w:hanging="1418"/>
        <w:jc w:val="both"/>
      </w:pPr>
    </w:p>
    <w:p w14:paraId="3233E28D" w14:textId="4431BB01" w:rsidR="006F3B24" w:rsidRDefault="006F3B24" w:rsidP="006F3B24">
      <w:pPr>
        <w:ind w:left="1418" w:hanging="1418"/>
        <w:jc w:val="both"/>
      </w:pPr>
      <w:r>
        <w:rPr>
          <w:b/>
        </w:rPr>
        <w:t>P028</w:t>
      </w:r>
      <w:r>
        <w:tab/>
        <w:t xml:space="preserve">Grad Osijek naslijedio je </w:t>
      </w:r>
      <w:proofErr w:type="spellStart"/>
      <w:r>
        <w:t>ošasnu</w:t>
      </w:r>
      <w:proofErr w:type="spellEnd"/>
      <w:r>
        <w:t xml:space="preserve"> imovinu u vrijednosti 16.680,10 kn. Osječko-baranjskoj županiji izvršen je prijenos bez naknade vlasničkog udjela u tvrtki Osječki sajam d.o.o. vrijednosti 250.000,00 kn, s ciljem proširenja i unapređivanja poslovanja same tvrtke.</w:t>
      </w:r>
    </w:p>
    <w:p w14:paraId="42DFEEC1" w14:textId="77777777" w:rsidR="000F1401" w:rsidRPr="00E917D7" w:rsidRDefault="000F1401" w:rsidP="006F3B24">
      <w:pPr>
        <w:ind w:left="1418" w:hanging="1418"/>
        <w:jc w:val="both"/>
      </w:pPr>
    </w:p>
    <w:p w14:paraId="0B86FE70" w14:textId="77777777" w:rsidR="006F3B24" w:rsidRDefault="006F3B24" w:rsidP="006F3B24">
      <w:pPr>
        <w:ind w:left="1418" w:hanging="1418"/>
        <w:jc w:val="both"/>
      </w:pPr>
      <w:r>
        <w:rPr>
          <w:b/>
        </w:rPr>
        <w:t>P0</w:t>
      </w:r>
      <w:r w:rsidRPr="00CE1B90">
        <w:rPr>
          <w:b/>
        </w:rPr>
        <w:t xml:space="preserve">29 </w:t>
      </w:r>
      <w:r w:rsidRPr="00E917D7">
        <w:tab/>
        <w:t xml:space="preserve">U okviru </w:t>
      </w:r>
      <w:r>
        <w:t xml:space="preserve">ove šifre </w:t>
      </w:r>
      <w:r w:rsidRPr="00E917D7">
        <w:t xml:space="preserve">iskazan je </w:t>
      </w:r>
      <w:r>
        <w:t>otpis</w:t>
      </w:r>
      <w:r w:rsidRPr="00E917D7">
        <w:t xml:space="preserve"> potraživanja za prihode poslovanja temeljem zaključka   </w:t>
      </w:r>
      <w:r>
        <w:t xml:space="preserve">gradonačelnika </w:t>
      </w:r>
      <w:r w:rsidRPr="00E917D7">
        <w:t>Grada Osijeka, a po izvršenom popisu imovine i potraživanja za 202</w:t>
      </w:r>
      <w:r>
        <w:t>1</w:t>
      </w:r>
      <w:r w:rsidRPr="00E917D7">
        <w:t xml:space="preserve">., u iznosu od </w:t>
      </w:r>
      <w:r>
        <w:t>90.640,73</w:t>
      </w:r>
      <w:r w:rsidRPr="00E917D7">
        <w:t xml:space="preserve"> kn</w:t>
      </w:r>
      <w:r>
        <w:t xml:space="preserve">. Također je po odluci Hrvatskih voda izvršeno </w:t>
      </w:r>
      <w:proofErr w:type="spellStart"/>
      <w:r>
        <w:t>isknjiženje</w:t>
      </w:r>
      <w:proofErr w:type="spellEnd"/>
      <w:r>
        <w:t xml:space="preserve"> potraživanja s osnova vodne naknade, za koje poslove vođenja i naplate radi Grad Osijek u iznosu 5.566.526,64 kn</w:t>
      </w:r>
    </w:p>
    <w:p w14:paraId="5D677FE7" w14:textId="77777777" w:rsidR="00C50B27" w:rsidRPr="00E917D7" w:rsidRDefault="00C50B27" w:rsidP="006F3B24">
      <w:pPr>
        <w:ind w:left="1418" w:hanging="1418"/>
        <w:jc w:val="both"/>
      </w:pPr>
    </w:p>
    <w:p w14:paraId="54DBD68B" w14:textId="77777777" w:rsidR="006F3B24" w:rsidRPr="00E917D7" w:rsidRDefault="006F3B24" w:rsidP="006F3B24">
      <w:pPr>
        <w:ind w:left="1418" w:hanging="1418"/>
        <w:jc w:val="both"/>
      </w:pPr>
      <w:r>
        <w:rPr>
          <w:b/>
        </w:rPr>
        <w:lastRenderedPageBreak/>
        <w:t>P0</w:t>
      </w:r>
      <w:r w:rsidRPr="00CE1B90">
        <w:rPr>
          <w:b/>
        </w:rPr>
        <w:t xml:space="preserve">34 </w:t>
      </w:r>
      <w:r w:rsidRPr="00E917D7">
        <w:tab/>
      </w:r>
      <w:r>
        <w:t>U</w:t>
      </w:r>
      <w:r w:rsidRPr="00E917D7">
        <w:t xml:space="preserve"> okviru </w:t>
      </w:r>
      <w:r>
        <w:t>ove šifre</w:t>
      </w:r>
      <w:r w:rsidRPr="00E917D7">
        <w:t xml:space="preserve"> iskazane su tečajne razlike po dugoročnim kreditima   Grada </w:t>
      </w:r>
      <w:r>
        <w:t xml:space="preserve">  </w:t>
      </w:r>
      <w:r w:rsidRPr="00E917D7">
        <w:t xml:space="preserve">Osijeka </w:t>
      </w:r>
      <w:r>
        <w:t>iz 2</w:t>
      </w:r>
      <w:r w:rsidRPr="00E917D7">
        <w:t xml:space="preserve">011. i 2014., s ugovorenom valutnom klauzulom. </w:t>
      </w:r>
      <w:r>
        <w:t>Predmetni krediti otplaćeni su u 2022.</w:t>
      </w:r>
    </w:p>
    <w:p w14:paraId="10C273C2" w14:textId="77777777" w:rsidR="006F3B24" w:rsidRPr="00E917D7" w:rsidRDefault="006F3B24" w:rsidP="006F3B24">
      <w:pPr>
        <w:jc w:val="both"/>
      </w:pPr>
      <w:r w:rsidRPr="00E917D7">
        <w:tab/>
      </w:r>
      <w:r w:rsidRPr="00E917D7">
        <w:tab/>
      </w:r>
      <w:r w:rsidRPr="00E917D7">
        <w:tab/>
      </w:r>
      <w:r w:rsidRPr="00E917D7">
        <w:tab/>
      </w:r>
      <w:r w:rsidRPr="00E917D7">
        <w:tab/>
      </w:r>
      <w:r w:rsidRPr="00E917D7">
        <w:tab/>
      </w:r>
      <w:r w:rsidRPr="00E917D7">
        <w:tab/>
      </w:r>
      <w:r w:rsidRPr="00E917D7">
        <w:tab/>
      </w:r>
    </w:p>
    <w:p w14:paraId="0EDF841D" w14:textId="77777777" w:rsidR="006F3B24" w:rsidRPr="00E917D7" w:rsidRDefault="006F3B24" w:rsidP="006F3B24">
      <w:pPr>
        <w:jc w:val="both"/>
      </w:pPr>
    </w:p>
    <w:p w14:paraId="7E57E49D" w14:textId="2FDC0D93" w:rsidR="000756C0" w:rsidRDefault="000756C0" w:rsidP="00D80E9F">
      <w:pPr>
        <w:jc w:val="center"/>
        <w:rPr>
          <w:b/>
          <w:highlight w:val="yellow"/>
        </w:rPr>
      </w:pPr>
    </w:p>
    <w:p w14:paraId="28018D5B" w14:textId="5E98A470" w:rsidR="006F3B24" w:rsidRDefault="006F3B24" w:rsidP="00D80E9F">
      <w:pPr>
        <w:jc w:val="center"/>
        <w:rPr>
          <w:b/>
          <w:highlight w:val="yellow"/>
        </w:rPr>
      </w:pPr>
    </w:p>
    <w:p w14:paraId="20E9485D" w14:textId="3089CBF0" w:rsidR="006F3B24" w:rsidRDefault="006F3B24" w:rsidP="00D80E9F">
      <w:pPr>
        <w:jc w:val="center"/>
        <w:rPr>
          <w:b/>
          <w:highlight w:val="yellow"/>
        </w:rPr>
      </w:pPr>
    </w:p>
    <w:p w14:paraId="316179D9" w14:textId="038C5480" w:rsidR="006F3B24" w:rsidRDefault="006F3B24" w:rsidP="00D80E9F">
      <w:pPr>
        <w:jc w:val="center"/>
        <w:rPr>
          <w:b/>
          <w:highlight w:val="yellow"/>
        </w:rPr>
      </w:pPr>
    </w:p>
    <w:p w14:paraId="39925DBC" w14:textId="3F22C7B8" w:rsidR="006F3B24" w:rsidRDefault="006F3B24" w:rsidP="00D80E9F">
      <w:pPr>
        <w:jc w:val="center"/>
        <w:rPr>
          <w:b/>
          <w:highlight w:val="yellow"/>
        </w:rPr>
      </w:pPr>
    </w:p>
    <w:p w14:paraId="3454B031" w14:textId="2FF8132E" w:rsidR="006F3B24" w:rsidRDefault="006F3B24" w:rsidP="00D80E9F">
      <w:pPr>
        <w:jc w:val="center"/>
        <w:rPr>
          <w:b/>
          <w:highlight w:val="yellow"/>
        </w:rPr>
      </w:pPr>
    </w:p>
    <w:p w14:paraId="5B049B35" w14:textId="5AC335BD" w:rsidR="006F3B24" w:rsidRDefault="006F3B24" w:rsidP="00D80E9F">
      <w:pPr>
        <w:jc w:val="center"/>
        <w:rPr>
          <w:b/>
          <w:highlight w:val="yellow"/>
        </w:rPr>
      </w:pPr>
    </w:p>
    <w:p w14:paraId="0DF18CAC" w14:textId="06AE6360" w:rsidR="006F3B24" w:rsidRDefault="006F3B24" w:rsidP="00D80E9F">
      <w:pPr>
        <w:jc w:val="center"/>
        <w:rPr>
          <w:b/>
          <w:highlight w:val="yellow"/>
        </w:rPr>
      </w:pPr>
    </w:p>
    <w:p w14:paraId="6B2718E3" w14:textId="55F2B373" w:rsidR="006F3B24" w:rsidRDefault="006F3B24" w:rsidP="00D80E9F">
      <w:pPr>
        <w:jc w:val="center"/>
        <w:rPr>
          <w:b/>
          <w:highlight w:val="yellow"/>
        </w:rPr>
      </w:pPr>
    </w:p>
    <w:p w14:paraId="5ADB2DB3" w14:textId="25750D96" w:rsidR="006F3B24" w:rsidRDefault="006F3B24" w:rsidP="00D80E9F">
      <w:pPr>
        <w:jc w:val="center"/>
        <w:rPr>
          <w:b/>
          <w:highlight w:val="yellow"/>
        </w:rPr>
      </w:pPr>
    </w:p>
    <w:p w14:paraId="1696FA01" w14:textId="3901A8EB" w:rsidR="006F3B24" w:rsidRDefault="006F3B24" w:rsidP="00D80E9F">
      <w:pPr>
        <w:jc w:val="center"/>
        <w:rPr>
          <w:b/>
          <w:highlight w:val="yellow"/>
        </w:rPr>
      </w:pPr>
    </w:p>
    <w:p w14:paraId="0FBA0DD3" w14:textId="6FB111F2" w:rsidR="006F3B24" w:rsidRDefault="006F3B24" w:rsidP="00D80E9F">
      <w:pPr>
        <w:jc w:val="center"/>
        <w:rPr>
          <w:b/>
          <w:highlight w:val="yellow"/>
        </w:rPr>
      </w:pPr>
    </w:p>
    <w:p w14:paraId="770A56E3" w14:textId="62B44AE8" w:rsidR="006F3B24" w:rsidRDefault="006F3B24" w:rsidP="00D80E9F">
      <w:pPr>
        <w:jc w:val="center"/>
        <w:rPr>
          <w:b/>
          <w:highlight w:val="yellow"/>
        </w:rPr>
      </w:pPr>
    </w:p>
    <w:p w14:paraId="39AA9DA5" w14:textId="616E83FA" w:rsidR="006F3B24" w:rsidRDefault="006F3B24" w:rsidP="00D80E9F">
      <w:pPr>
        <w:jc w:val="center"/>
        <w:rPr>
          <w:b/>
          <w:highlight w:val="yellow"/>
        </w:rPr>
      </w:pPr>
    </w:p>
    <w:p w14:paraId="67CA0122" w14:textId="4B9A6418" w:rsidR="006F3B24" w:rsidRDefault="006F3B24" w:rsidP="00D80E9F">
      <w:pPr>
        <w:jc w:val="center"/>
        <w:rPr>
          <w:b/>
          <w:highlight w:val="yellow"/>
        </w:rPr>
      </w:pPr>
    </w:p>
    <w:p w14:paraId="7CFED863" w14:textId="57C04ED7" w:rsidR="006F3B24" w:rsidRDefault="006F3B24" w:rsidP="00D80E9F">
      <w:pPr>
        <w:jc w:val="center"/>
        <w:rPr>
          <w:b/>
          <w:highlight w:val="yellow"/>
        </w:rPr>
      </w:pPr>
    </w:p>
    <w:p w14:paraId="079D7822" w14:textId="3F1664A7" w:rsidR="006F3B24" w:rsidRDefault="006F3B24" w:rsidP="00D80E9F">
      <w:pPr>
        <w:jc w:val="center"/>
        <w:rPr>
          <w:b/>
          <w:highlight w:val="yellow"/>
        </w:rPr>
      </w:pPr>
    </w:p>
    <w:p w14:paraId="5549A5ED" w14:textId="056F48B9" w:rsidR="00257DDE" w:rsidRDefault="00257DDE" w:rsidP="00D80E9F">
      <w:pPr>
        <w:jc w:val="center"/>
        <w:rPr>
          <w:b/>
          <w:highlight w:val="yellow"/>
        </w:rPr>
      </w:pPr>
    </w:p>
    <w:p w14:paraId="19458999" w14:textId="1BBC6264" w:rsidR="00257DDE" w:rsidRDefault="00257DDE" w:rsidP="00D80E9F">
      <w:pPr>
        <w:jc w:val="center"/>
        <w:rPr>
          <w:b/>
          <w:highlight w:val="yellow"/>
        </w:rPr>
      </w:pPr>
    </w:p>
    <w:p w14:paraId="25174576" w14:textId="08D07D03" w:rsidR="00257DDE" w:rsidRDefault="00257DDE" w:rsidP="00D80E9F">
      <w:pPr>
        <w:jc w:val="center"/>
        <w:rPr>
          <w:b/>
          <w:highlight w:val="yellow"/>
        </w:rPr>
      </w:pPr>
    </w:p>
    <w:p w14:paraId="415897F5" w14:textId="7ECA70DC" w:rsidR="00257DDE" w:rsidRDefault="00257DDE" w:rsidP="00D80E9F">
      <w:pPr>
        <w:jc w:val="center"/>
        <w:rPr>
          <w:b/>
          <w:highlight w:val="yellow"/>
        </w:rPr>
      </w:pPr>
    </w:p>
    <w:p w14:paraId="3758A67A" w14:textId="5EF76837" w:rsidR="00257DDE" w:rsidRDefault="00257DDE" w:rsidP="00D80E9F">
      <w:pPr>
        <w:jc w:val="center"/>
        <w:rPr>
          <w:b/>
          <w:highlight w:val="yellow"/>
        </w:rPr>
      </w:pPr>
    </w:p>
    <w:p w14:paraId="5465F446" w14:textId="665909A7" w:rsidR="00257DDE" w:rsidRDefault="00257DDE" w:rsidP="00D80E9F">
      <w:pPr>
        <w:jc w:val="center"/>
        <w:rPr>
          <w:b/>
          <w:highlight w:val="yellow"/>
        </w:rPr>
      </w:pPr>
    </w:p>
    <w:p w14:paraId="00D43EE9" w14:textId="697E320E" w:rsidR="00257DDE" w:rsidRDefault="00257DDE" w:rsidP="00D80E9F">
      <w:pPr>
        <w:jc w:val="center"/>
        <w:rPr>
          <w:b/>
          <w:highlight w:val="yellow"/>
        </w:rPr>
      </w:pPr>
    </w:p>
    <w:p w14:paraId="295332E2" w14:textId="77D3C757" w:rsidR="00257DDE" w:rsidRDefault="00257DDE" w:rsidP="00D80E9F">
      <w:pPr>
        <w:jc w:val="center"/>
        <w:rPr>
          <w:b/>
          <w:highlight w:val="yellow"/>
        </w:rPr>
      </w:pPr>
    </w:p>
    <w:p w14:paraId="12933A23" w14:textId="352A08FD" w:rsidR="00257DDE" w:rsidRDefault="00257DDE" w:rsidP="00D80E9F">
      <w:pPr>
        <w:jc w:val="center"/>
        <w:rPr>
          <w:b/>
          <w:highlight w:val="yellow"/>
        </w:rPr>
      </w:pPr>
    </w:p>
    <w:p w14:paraId="28A79533" w14:textId="40137D59" w:rsidR="00257DDE" w:rsidRDefault="00257DDE" w:rsidP="00D80E9F">
      <w:pPr>
        <w:jc w:val="center"/>
        <w:rPr>
          <w:b/>
          <w:highlight w:val="yellow"/>
        </w:rPr>
      </w:pPr>
    </w:p>
    <w:p w14:paraId="46BCA589" w14:textId="4E274951" w:rsidR="00257DDE" w:rsidRDefault="00257DDE" w:rsidP="00D80E9F">
      <w:pPr>
        <w:jc w:val="center"/>
        <w:rPr>
          <w:b/>
          <w:highlight w:val="yellow"/>
        </w:rPr>
      </w:pPr>
    </w:p>
    <w:p w14:paraId="54348C61" w14:textId="7EFA4AEA" w:rsidR="00257DDE" w:rsidRDefault="00257DDE" w:rsidP="00D80E9F">
      <w:pPr>
        <w:jc w:val="center"/>
        <w:rPr>
          <w:b/>
          <w:highlight w:val="yellow"/>
        </w:rPr>
      </w:pPr>
    </w:p>
    <w:p w14:paraId="6318DF81" w14:textId="4C43324D" w:rsidR="00257DDE" w:rsidRDefault="00257DDE" w:rsidP="00D80E9F">
      <w:pPr>
        <w:jc w:val="center"/>
        <w:rPr>
          <w:b/>
          <w:highlight w:val="yellow"/>
        </w:rPr>
      </w:pPr>
    </w:p>
    <w:p w14:paraId="48ED9707" w14:textId="5DC7C653" w:rsidR="00257DDE" w:rsidRDefault="00257DDE" w:rsidP="00D80E9F">
      <w:pPr>
        <w:jc w:val="center"/>
        <w:rPr>
          <w:b/>
          <w:highlight w:val="yellow"/>
        </w:rPr>
      </w:pPr>
    </w:p>
    <w:p w14:paraId="541055BD" w14:textId="11B6099B" w:rsidR="00257DDE" w:rsidRDefault="00257DDE" w:rsidP="00D80E9F">
      <w:pPr>
        <w:jc w:val="center"/>
        <w:rPr>
          <w:b/>
          <w:highlight w:val="yellow"/>
        </w:rPr>
      </w:pPr>
    </w:p>
    <w:p w14:paraId="0F9B3FE6" w14:textId="51EF240F" w:rsidR="00257DDE" w:rsidRDefault="00257DDE" w:rsidP="00D80E9F">
      <w:pPr>
        <w:jc w:val="center"/>
        <w:rPr>
          <w:b/>
          <w:highlight w:val="yellow"/>
        </w:rPr>
      </w:pPr>
    </w:p>
    <w:p w14:paraId="5E47348E" w14:textId="6CB81502" w:rsidR="00257DDE" w:rsidRDefault="00257DDE" w:rsidP="00D80E9F">
      <w:pPr>
        <w:jc w:val="center"/>
        <w:rPr>
          <w:b/>
          <w:highlight w:val="yellow"/>
        </w:rPr>
      </w:pPr>
    </w:p>
    <w:p w14:paraId="6D0ADD5E" w14:textId="54DB51DD" w:rsidR="00257DDE" w:rsidRDefault="00257DDE" w:rsidP="00D80E9F">
      <w:pPr>
        <w:jc w:val="center"/>
        <w:rPr>
          <w:b/>
          <w:highlight w:val="yellow"/>
        </w:rPr>
      </w:pPr>
    </w:p>
    <w:p w14:paraId="7CE068B8" w14:textId="77777777" w:rsidR="00257DDE" w:rsidRDefault="00257DDE" w:rsidP="00D80E9F">
      <w:pPr>
        <w:jc w:val="center"/>
        <w:rPr>
          <w:b/>
          <w:highlight w:val="yellow"/>
        </w:rPr>
      </w:pPr>
    </w:p>
    <w:p w14:paraId="59202C43" w14:textId="77777777" w:rsidR="006F3B24" w:rsidRDefault="006F3B24" w:rsidP="00D80E9F">
      <w:pPr>
        <w:jc w:val="center"/>
        <w:rPr>
          <w:b/>
          <w:highlight w:val="yellow"/>
        </w:rPr>
      </w:pPr>
    </w:p>
    <w:p w14:paraId="13ACFC80" w14:textId="45471F57" w:rsidR="000756C0" w:rsidRDefault="000756C0" w:rsidP="00D80E9F">
      <w:pPr>
        <w:jc w:val="center"/>
        <w:rPr>
          <w:b/>
          <w:highlight w:val="yellow"/>
        </w:rPr>
      </w:pPr>
    </w:p>
    <w:p w14:paraId="548A37D4" w14:textId="77777777" w:rsidR="00F52082" w:rsidRDefault="00F52082" w:rsidP="00D80E9F">
      <w:pPr>
        <w:jc w:val="center"/>
        <w:rPr>
          <w:b/>
          <w:highlight w:val="yellow"/>
        </w:rPr>
      </w:pPr>
    </w:p>
    <w:p w14:paraId="7D4DAE56" w14:textId="77777777" w:rsidR="00F7010C" w:rsidRDefault="00F7010C" w:rsidP="00D80E9F">
      <w:pPr>
        <w:jc w:val="center"/>
        <w:rPr>
          <w:b/>
          <w:highlight w:val="yellow"/>
        </w:rPr>
      </w:pPr>
    </w:p>
    <w:p w14:paraId="1C36900D" w14:textId="77777777" w:rsidR="00F7010C" w:rsidRDefault="00F7010C" w:rsidP="0043365F">
      <w:pPr>
        <w:rPr>
          <w:b/>
          <w:highlight w:val="yellow"/>
        </w:rPr>
      </w:pPr>
    </w:p>
    <w:p w14:paraId="32DA6FDD" w14:textId="77777777" w:rsidR="008A4FC7" w:rsidRPr="00F34787" w:rsidRDefault="008A4FC7" w:rsidP="008A4FC7">
      <w:pPr>
        <w:jc w:val="center"/>
        <w:rPr>
          <w:b/>
          <w:sz w:val="28"/>
        </w:rPr>
      </w:pPr>
      <w:r w:rsidRPr="00F34787">
        <w:rPr>
          <w:b/>
          <w:sz w:val="28"/>
        </w:rPr>
        <w:lastRenderedPageBreak/>
        <w:t>BILJEŠKE UZ IZVJEŠTAJ O RASHODIMA PREMA</w:t>
      </w:r>
    </w:p>
    <w:p w14:paraId="01024BBA" w14:textId="77777777" w:rsidR="008A4FC7" w:rsidRPr="00F34787" w:rsidRDefault="008A4FC7" w:rsidP="008A4FC7">
      <w:pPr>
        <w:jc w:val="center"/>
        <w:rPr>
          <w:b/>
          <w:sz w:val="28"/>
        </w:rPr>
      </w:pPr>
      <w:r w:rsidRPr="00F34787">
        <w:rPr>
          <w:b/>
          <w:sz w:val="28"/>
        </w:rPr>
        <w:t xml:space="preserve"> FUNKCIJSKOJ KLASIFIKACIJI</w:t>
      </w:r>
    </w:p>
    <w:p w14:paraId="501FDB43" w14:textId="77777777" w:rsidR="008A4FC7" w:rsidRPr="008A4F6D" w:rsidRDefault="008A4FC7" w:rsidP="008A4FC7">
      <w:pPr>
        <w:jc w:val="both"/>
        <w:rPr>
          <w:highlight w:val="yellow"/>
        </w:rPr>
      </w:pPr>
    </w:p>
    <w:p w14:paraId="2BAC4050" w14:textId="77777777" w:rsidR="008A4FC7" w:rsidRPr="008A4F6D" w:rsidRDefault="008A4FC7" w:rsidP="008A4FC7">
      <w:pPr>
        <w:jc w:val="both"/>
        <w:rPr>
          <w:b/>
          <w:sz w:val="28"/>
          <w:szCs w:val="28"/>
          <w:highlight w:val="yellow"/>
          <w:u w:val="single"/>
        </w:rPr>
      </w:pPr>
    </w:p>
    <w:p w14:paraId="0A2C0B11" w14:textId="2B3F8918" w:rsidR="008A4FC7" w:rsidRPr="00A30531" w:rsidRDefault="008A4FC7" w:rsidP="008A4FC7">
      <w:pPr>
        <w:jc w:val="both"/>
      </w:pPr>
      <w:r w:rsidRPr="00A30531">
        <w:t xml:space="preserve">Rashodi prema funkcijskoj klasifikacije na 31.12.2021. iznose </w:t>
      </w:r>
      <w:r w:rsidR="00CE6FC7">
        <w:t>848</w:t>
      </w:r>
      <w:r w:rsidR="006C1295">
        <w:t>.</w:t>
      </w:r>
      <w:r w:rsidR="00CE6FC7">
        <w:t>588</w:t>
      </w:r>
      <w:r w:rsidR="006C1295">
        <w:t>.</w:t>
      </w:r>
      <w:r w:rsidR="00CE6FC7">
        <w:t>673,01</w:t>
      </w:r>
      <w:r w:rsidRPr="00A30531">
        <w:t xml:space="preserve"> kn što je za </w:t>
      </w:r>
      <w:r w:rsidR="00CE6FC7">
        <w:t>115</w:t>
      </w:r>
      <w:r w:rsidR="000C35F3">
        <w:t>.</w:t>
      </w:r>
      <w:r w:rsidR="00CE6FC7">
        <w:t>932</w:t>
      </w:r>
      <w:r w:rsidR="000C35F3">
        <w:t>.</w:t>
      </w:r>
      <w:r w:rsidR="00CE6FC7">
        <w:t>776,01</w:t>
      </w:r>
      <w:r w:rsidRPr="00A30531">
        <w:t xml:space="preserve"> kn više u odnosu na prošlu godinu. U nastavku izdvajamo najveća povećanja/smanjenja rashoda.</w:t>
      </w:r>
    </w:p>
    <w:p w14:paraId="56B14206" w14:textId="77777777" w:rsidR="008A4FC7" w:rsidRDefault="008A4FC7" w:rsidP="008A4FC7">
      <w:pPr>
        <w:jc w:val="both"/>
        <w:rPr>
          <w:b/>
          <w:highlight w:val="yellow"/>
        </w:rPr>
      </w:pPr>
    </w:p>
    <w:p w14:paraId="25082FC0" w14:textId="77777777" w:rsidR="00CE6FC7" w:rsidRPr="00E917D7" w:rsidRDefault="00CE6FC7" w:rsidP="00CE6FC7">
      <w:pPr>
        <w:jc w:val="both"/>
        <w:rPr>
          <w:bCs/>
        </w:rPr>
      </w:pPr>
      <w:r>
        <w:rPr>
          <w:b/>
        </w:rPr>
        <w:t>0133</w:t>
      </w:r>
      <w:r w:rsidRPr="00E917D7">
        <w:rPr>
          <w:b/>
        </w:rPr>
        <w:t xml:space="preserve"> Ostale opće usluge </w:t>
      </w:r>
      <w:r w:rsidRPr="00E917D7">
        <w:rPr>
          <w:bCs/>
        </w:rPr>
        <w:t>u 202</w:t>
      </w:r>
      <w:r>
        <w:rPr>
          <w:bCs/>
        </w:rPr>
        <w:t>2</w:t>
      </w:r>
      <w:r w:rsidRPr="00E917D7">
        <w:rPr>
          <w:bCs/>
        </w:rPr>
        <w:t xml:space="preserve">. iznose </w:t>
      </w:r>
      <w:r>
        <w:rPr>
          <w:bCs/>
        </w:rPr>
        <w:t>29</w:t>
      </w:r>
      <w:r w:rsidRPr="00E917D7">
        <w:rPr>
          <w:bCs/>
        </w:rPr>
        <w:t>.</w:t>
      </w:r>
      <w:r>
        <w:rPr>
          <w:bCs/>
        </w:rPr>
        <w:t>530</w:t>
      </w:r>
      <w:r w:rsidRPr="00E917D7">
        <w:rPr>
          <w:bCs/>
        </w:rPr>
        <w:t>.</w:t>
      </w:r>
      <w:r>
        <w:rPr>
          <w:bCs/>
        </w:rPr>
        <w:t>752,01</w:t>
      </w:r>
      <w:r w:rsidRPr="00E917D7">
        <w:rPr>
          <w:bCs/>
        </w:rPr>
        <w:t xml:space="preserve"> kn i veće su za </w:t>
      </w:r>
      <w:r>
        <w:rPr>
          <w:bCs/>
        </w:rPr>
        <w:t>9</w:t>
      </w:r>
      <w:r w:rsidRPr="00E917D7">
        <w:rPr>
          <w:bCs/>
        </w:rPr>
        <w:t>.</w:t>
      </w:r>
      <w:r>
        <w:rPr>
          <w:bCs/>
        </w:rPr>
        <w:t>115</w:t>
      </w:r>
      <w:r w:rsidRPr="00E917D7">
        <w:rPr>
          <w:bCs/>
        </w:rPr>
        <w:t>.</w:t>
      </w:r>
      <w:r>
        <w:rPr>
          <w:bCs/>
        </w:rPr>
        <w:t>310,01</w:t>
      </w:r>
      <w:r w:rsidRPr="00E917D7">
        <w:rPr>
          <w:bCs/>
        </w:rPr>
        <w:t xml:space="preserve"> kn</w:t>
      </w:r>
      <w:r>
        <w:rPr>
          <w:bCs/>
        </w:rPr>
        <w:t xml:space="preserve"> ili 44,6%</w:t>
      </w:r>
      <w:r w:rsidRPr="00E917D7">
        <w:rPr>
          <w:bCs/>
        </w:rPr>
        <w:t xml:space="preserve">. Navedeno povećanje se najvećim dijelom odnosi na trošak </w:t>
      </w:r>
      <w:r>
        <w:rPr>
          <w:bCs/>
        </w:rPr>
        <w:t>sudskih presuda</w:t>
      </w:r>
      <w:r w:rsidRPr="00E917D7">
        <w:rPr>
          <w:bCs/>
        </w:rPr>
        <w:t xml:space="preserve"> </w:t>
      </w:r>
      <w:r>
        <w:rPr>
          <w:bCs/>
        </w:rPr>
        <w:t xml:space="preserve">koji je realiziran </w:t>
      </w:r>
      <w:r w:rsidRPr="00E917D7">
        <w:rPr>
          <w:bCs/>
        </w:rPr>
        <w:t xml:space="preserve">u iznosu od </w:t>
      </w:r>
      <w:r>
        <w:rPr>
          <w:bCs/>
        </w:rPr>
        <w:t>5</w:t>
      </w:r>
      <w:r w:rsidRPr="00E917D7">
        <w:rPr>
          <w:bCs/>
        </w:rPr>
        <w:t>.</w:t>
      </w:r>
      <w:r>
        <w:rPr>
          <w:bCs/>
        </w:rPr>
        <w:t>249</w:t>
      </w:r>
      <w:r w:rsidRPr="00E917D7">
        <w:rPr>
          <w:bCs/>
        </w:rPr>
        <w:t>.</w:t>
      </w:r>
      <w:r>
        <w:rPr>
          <w:bCs/>
        </w:rPr>
        <w:t xml:space="preserve">326,00 kn, zamjenu poslovnih prostora s RH u iznosu 1.823.000,00 kn te usluge promidžbe i informiranja. </w:t>
      </w:r>
    </w:p>
    <w:p w14:paraId="461CB044" w14:textId="77777777" w:rsidR="00CE6FC7" w:rsidRPr="00E917D7" w:rsidRDefault="00CE6FC7" w:rsidP="00CE6FC7">
      <w:pPr>
        <w:jc w:val="both"/>
        <w:rPr>
          <w:bCs/>
        </w:rPr>
      </w:pPr>
    </w:p>
    <w:p w14:paraId="55A30089" w14:textId="3B758742" w:rsidR="00CE6FC7" w:rsidRDefault="00CE6FC7" w:rsidP="002527F0">
      <w:pPr>
        <w:jc w:val="both"/>
      </w:pPr>
      <w:r>
        <w:rPr>
          <w:b/>
        </w:rPr>
        <w:t>0</w:t>
      </w:r>
      <w:r w:rsidRPr="00E917D7">
        <w:rPr>
          <w:b/>
        </w:rPr>
        <w:t>3</w:t>
      </w:r>
      <w:r>
        <w:rPr>
          <w:b/>
        </w:rPr>
        <w:t>2</w:t>
      </w:r>
      <w:r w:rsidRPr="00E917D7">
        <w:rPr>
          <w:b/>
        </w:rPr>
        <w:t xml:space="preserve"> </w:t>
      </w:r>
      <w:r>
        <w:rPr>
          <w:b/>
        </w:rPr>
        <w:t xml:space="preserve">Usluge protupožarne zaštite </w:t>
      </w:r>
      <w:r w:rsidRPr="00E05750">
        <w:t>veće su za</w:t>
      </w:r>
      <w:r>
        <w:t xml:space="preserve"> 1.628.108,29 kuna ili 8,3%. Isto je vezano za rast rashoda za plaće i materijalne rashode Javne vatrogasne postrojbe Grada Osijeka</w:t>
      </w:r>
      <w:r w:rsidR="004D3D05">
        <w:t>,</w:t>
      </w:r>
      <w:r>
        <w:t xml:space="preserve"> kao i općih prihoda Grada Osijeka, a time i dodatno izdvajanje financijskih sredstava za financiranje vatrogasnih društava sukladno zakonskim propisima.</w:t>
      </w:r>
    </w:p>
    <w:p w14:paraId="69586DD2" w14:textId="77777777" w:rsidR="00CE6FC7" w:rsidRDefault="00CE6FC7" w:rsidP="00CE6FC7">
      <w:pPr>
        <w:jc w:val="both"/>
      </w:pPr>
    </w:p>
    <w:p w14:paraId="0079FA45" w14:textId="77777777" w:rsidR="00CE6FC7" w:rsidRDefault="00CE6FC7" w:rsidP="002527F0">
      <w:pPr>
        <w:jc w:val="both"/>
      </w:pPr>
      <w:r w:rsidRPr="007169DE">
        <w:rPr>
          <w:b/>
        </w:rPr>
        <w:t>0421</w:t>
      </w:r>
      <w:r>
        <w:rPr>
          <w:b/>
        </w:rPr>
        <w:t xml:space="preserve"> </w:t>
      </w:r>
      <w:r w:rsidRPr="007169DE">
        <w:rPr>
          <w:b/>
        </w:rPr>
        <w:t>Poljoprivreda</w:t>
      </w:r>
      <w:r>
        <w:rPr>
          <w:b/>
        </w:rPr>
        <w:t>-</w:t>
      </w:r>
      <w:r>
        <w:t xml:space="preserve"> rashodi u okviru ove funkcijske klasifikacije veći su za 705.037,80 kn. Predmetno povećanje odnosi se na utrošak namjenskih sredstava od poljoprivrednog zemljišta, prvenstveno za uređenje poljskih putova (</w:t>
      </w:r>
      <w:proofErr w:type="spellStart"/>
      <w:r>
        <w:t>otresnice</w:t>
      </w:r>
      <w:proofErr w:type="spellEnd"/>
      <w:r>
        <w:t>).</w:t>
      </w:r>
    </w:p>
    <w:p w14:paraId="6282C889" w14:textId="77777777" w:rsidR="00CE6FC7" w:rsidRDefault="00CE6FC7" w:rsidP="00CE6FC7">
      <w:pPr>
        <w:jc w:val="both"/>
      </w:pPr>
    </w:p>
    <w:p w14:paraId="4E5414B3" w14:textId="77777777" w:rsidR="00CE6FC7" w:rsidRPr="00E917D7" w:rsidRDefault="00CE6FC7" w:rsidP="002527F0">
      <w:pPr>
        <w:jc w:val="both"/>
      </w:pPr>
      <w:r w:rsidRPr="007169DE">
        <w:rPr>
          <w:b/>
        </w:rPr>
        <w:t>0451 Cestovni promet</w:t>
      </w:r>
      <w:r>
        <w:t>- rashodi u okviru ove funkcijske klasifikacije veći su za 27.463.974,38 kn ili 72,9%. i vezani su za</w:t>
      </w:r>
      <w:r w:rsidRPr="00E917D7">
        <w:t xml:space="preserve"> izgradnju prometnica te održavanje nerazvrstanih cesta, mostova, pješačkih i biciklističkih površina te rekonstrukciju prometnica.</w:t>
      </w:r>
      <w:r>
        <w:t xml:space="preserve"> Ovo povećanje prvenstveno se odnosi na projekt Izgradnja podvožnjaka u Ulici svetog Leopolda Bogdana Mandića, koji je započet u 2021. godini i za koji je u 2022. utrošeno 34.172.056,49 kn.</w:t>
      </w:r>
    </w:p>
    <w:p w14:paraId="0AAAEFAC" w14:textId="77777777" w:rsidR="00CE6FC7" w:rsidRPr="00E917D7" w:rsidRDefault="00CE6FC7" w:rsidP="00CE6FC7">
      <w:pPr>
        <w:jc w:val="both"/>
        <w:rPr>
          <w:highlight w:val="yellow"/>
        </w:rPr>
      </w:pPr>
    </w:p>
    <w:p w14:paraId="5AB94863" w14:textId="5AAE26CC" w:rsidR="00CE6FC7" w:rsidRPr="00E917D7" w:rsidRDefault="00CE6FC7" w:rsidP="00CE6FC7">
      <w:pPr>
        <w:jc w:val="both"/>
        <w:rPr>
          <w:bCs/>
        </w:rPr>
      </w:pPr>
      <w:r>
        <w:rPr>
          <w:b/>
        </w:rPr>
        <w:t>05</w:t>
      </w:r>
      <w:r w:rsidRPr="00E917D7">
        <w:rPr>
          <w:b/>
        </w:rPr>
        <w:t xml:space="preserve"> Zaštita okoliša </w:t>
      </w:r>
      <w:r w:rsidRPr="00E917D7">
        <w:rPr>
          <w:bCs/>
        </w:rPr>
        <w:t xml:space="preserve">manja je za </w:t>
      </w:r>
      <w:r w:rsidR="001C0EBB">
        <w:rPr>
          <w:bCs/>
        </w:rPr>
        <w:t>4</w:t>
      </w:r>
      <w:r w:rsidRPr="00E917D7">
        <w:rPr>
          <w:bCs/>
        </w:rPr>
        <w:t>.</w:t>
      </w:r>
      <w:r w:rsidR="001C0EBB">
        <w:rPr>
          <w:bCs/>
        </w:rPr>
        <w:t>329</w:t>
      </w:r>
      <w:r w:rsidRPr="00E917D7">
        <w:rPr>
          <w:bCs/>
        </w:rPr>
        <w:t>.</w:t>
      </w:r>
      <w:r w:rsidR="001C0EBB">
        <w:rPr>
          <w:bCs/>
        </w:rPr>
        <w:t>182</w:t>
      </w:r>
      <w:r>
        <w:rPr>
          <w:bCs/>
        </w:rPr>
        <w:t>,5</w:t>
      </w:r>
      <w:r w:rsidR="00346E0C">
        <w:rPr>
          <w:bCs/>
        </w:rPr>
        <w:t>7</w:t>
      </w:r>
      <w:r w:rsidRPr="00E917D7">
        <w:rPr>
          <w:bCs/>
        </w:rPr>
        <w:t xml:space="preserve"> kn</w:t>
      </w:r>
      <w:r>
        <w:rPr>
          <w:bCs/>
        </w:rPr>
        <w:t xml:space="preserve"> ili 12,7% u odnosu na 2021</w:t>
      </w:r>
      <w:r w:rsidRPr="00E917D7">
        <w:rPr>
          <w:bCs/>
        </w:rPr>
        <w:t>.</w:t>
      </w:r>
      <w:r>
        <w:rPr>
          <w:bCs/>
        </w:rPr>
        <w:t xml:space="preserve"> Troškovi u 2022. prvenstveno su vezani za </w:t>
      </w:r>
      <w:r w:rsidRPr="00E917D7">
        <w:rPr>
          <w:bCs/>
        </w:rPr>
        <w:t>završe</w:t>
      </w:r>
      <w:r>
        <w:rPr>
          <w:bCs/>
        </w:rPr>
        <w:t xml:space="preserve">tak </w:t>
      </w:r>
      <w:r w:rsidRPr="00E917D7">
        <w:rPr>
          <w:bCs/>
        </w:rPr>
        <w:t xml:space="preserve">sanacije odlagališta otpada </w:t>
      </w:r>
      <w:r>
        <w:rPr>
          <w:bCs/>
        </w:rPr>
        <w:t>Sarvaš u iznosu 23.887.391,31 kn.</w:t>
      </w:r>
    </w:p>
    <w:p w14:paraId="111AF2EE" w14:textId="77777777" w:rsidR="00CE6FC7" w:rsidRPr="00E917D7" w:rsidRDefault="00CE6FC7" w:rsidP="00CE6FC7">
      <w:pPr>
        <w:jc w:val="both"/>
        <w:rPr>
          <w:bCs/>
        </w:rPr>
      </w:pPr>
    </w:p>
    <w:p w14:paraId="51E65CB1" w14:textId="24387C60" w:rsidR="00CE6FC7" w:rsidRDefault="00CE6FC7" w:rsidP="00CE6FC7">
      <w:pPr>
        <w:jc w:val="both"/>
        <w:rPr>
          <w:bCs/>
        </w:rPr>
      </w:pPr>
      <w:r>
        <w:rPr>
          <w:b/>
        </w:rPr>
        <w:t>062 Razvoj</w:t>
      </w:r>
      <w:r w:rsidRPr="00E917D7">
        <w:rPr>
          <w:b/>
        </w:rPr>
        <w:t xml:space="preserve"> zajednice</w:t>
      </w:r>
      <w:r>
        <w:rPr>
          <w:b/>
        </w:rPr>
        <w:t>-</w:t>
      </w:r>
      <w:r w:rsidRPr="003E0E66">
        <w:t xml:space="preserve">ove usluge </w:t>
      </w:r>
      <w:r w:rsidRPr="003E0E66">
        <w:rPr>
          <w:bCs/>
        </w:rPr>
        <w:t>veće</w:t>
      </w:r>
      <w:r w:rsidRPr="00E917D7">
        <w:rPr>
          <w:bCs/>
        </w:rPr>
        <w:t xml:space="preserve"> su za </w:t>
      </w:r>
      <w:r>
        <w:rPr>
          <w:bCs/>
        </w:rPr>
        <w:t>3</w:t>
      </w:r>
      <w:r w:rsidR="00F326E7">
        <w:rPr>
          <w:bCs/>
        </w:rPr>
        <w:t>0</w:t>
      </w:r>
      <w:r w:rsidRPr="00E917D7">
        <w:rPr>
          <w:bCs/>
        </w:rPr>
        <w:t>.</w:t>
      </w:r>
      <w:r w:rsidR="00F326E7">
        <w:rPr>
          <w:bCs/>
        </w:rPr>
        <w:t>337</w:t>
      </w:r>
      <w:r w:rsidRPr="00E917D7">
        <w:rPr>
          <w:bCs/>
        </w:rPr>
        <w:t>.</w:t>
      </w:r>
      <w:r w:rsidR="00F326E7">
        <w:rPr>
          <w:bCs/>
        </w:rPr>
        <w:t>354</w:t>
      </w:r>
      <w:r>
        <w:rPr>
          <w:bCs/>
        </w:rPr>
        <w:t>,</w:t>
      </w:r>
      <w:r w:rsidR="00F326E7">
        <w:rPr>
          <w:bCs/>
        </w:rPr>
        <w:t>07</w:t>
      </w:r>
      <w:r w:rsidRPr="00E917D7">
        <w:rPr>
          <w:bCs/>
        </w:rPr>
        <w:t xml:space="preserve"> kn</w:t>
      </w:r>
      <w:r>
        <w:rPr>
          <w:bCs/>
        </w:rPr>
        <w:t xml:space="preserve"> ili 2</w:t>
      </w:r>
      <w:r w:rsidR="00F326E7">
        <w:rPr>
          <w:bCs/>
        </w:rPr>
        <w:t>1</w:t>
      </w:r>
      <w:r>
        <w:rPr>
          <w:bCs/>
        </w:rPr>
        <w:t>,</w:t>
      </w:r>
      <w:r w:rsidR="00F326E7">
        <w:rPr>
          <w:bCs/>
        </w:rPr>
        <w:t>6</w:t>
      </w:r>
      <w:r>
        <w:rPr>
          <w:bCs/>
        </w:rPr>
        <w:t>%</w:t>
      </w:r>
      <w:r w:rsidRPr="00E917D7">
        <w:rPr>
          <w:bCs/>
        </w:rPr>
        <w:t xml:space="preserve"> u odnosu na 202</w:t>
      </w:r>
      <w:r>
        <w:rPr>
          <w:bCs/>
        </w:rPr>
        <w:t>1</w:t>
      </w:r>
      <w:r w:rsidRPr="00E917D7">
        <w:rPr>
          <w:bCs/>
        </w:rPr>
        <w:t xml:space="preserve">.  Najvećim dijelom se odnose na provedbu projekata koji su </w:t>
      </w:r>
      <w:r>
        <w:rPr>
          <w:bCs/>
        </w:rPr>
        <w:t>započeti</w:t>
      </w:r>
      <w:r w:rsidRPr="00E917D7">
        <w:rPr>
          <w:bCs/>
        </w:rPr>
        <w:t xml:space="preserve"> u</w:t>
      </w:r>
      <w:r>
        <w:rPr>
          <w:bCs/>
        </w:rPr>
        <w:t xml:space="preserve"> 2020. i</w:t>
      </w:r>
      <w:r w:rsidRPr="00E917D7">
        <w:rPr>
          <w:bCs/>
        </w:rPr>
        <w:t xml:space="preserve"> 2021. godini poput Razvoja i unaprjeđenja osječke Tvrđe</w:t>
      </w:r>
      <w:r>
        <w:rPr>
          <w:bCs/>
        </w:rPr>
        <w:t xml:space="preserve"> koji završava sredinom 2023.</w:t>
      </w:r>
      <w:r w:rsidRPr="00E917D7">
        <w:rPr>
          <w:bCs/>
        </w:rPr>
        <w:t xml:space="preserve">, </w:t>
      </w:r>
      <w:r>
        <w:rPr>
          <w:bCs/>
        </w:rPr>
        <w:t xml:space="preserve">Centra za posjetitelje Tvrđa koji je i završen u 2022., </w:t>
      </w:r>
      <w:r w:rsidRPr="00E917D7">
        <w:rPr>
          <w:bCs/>
        </w:rPr>
        <w:t xml:space="preserve"> ali i </w:t>
      </w:r>
      <w:r>
        <w:rPr>
          <w:bCs/>
        </w:rPr>
        <w:t>projekt izgradnje</w:t>
      </w:r>
      <w:r w:rsidRPr="00E917D7">
        <w:rPr>
          <w:bCs/>
        </w:rPr>
        <w:t xml:space="preserve"> stambenih jedinica za socijalne skupine građana</w:t>
      </w:r>
      <w:r>
        <w:rPr>
          <w:bCs/>
        </w:rPr>
        <w:t xml:space="preserve"> u Tenji koji završava početkom 2023. Također je u 2022. izvršena kupovina poslovnih objekata (zgrada VK Iktus) i građevinskih zemljišta za potreba daljnjih razvojnih projekata Grada.</w:t>
      </w:r>
    </w:p>
    <w:p w14:paraId="0D7ED00A" w14:textId="77777777" w:rsidR="00CE6FC7" w:rsidRDefault="00CE6FC7" w:rsidP="00CE6FC7">
      <w:pPr>
        <w:jc w:val="both"/>
        <w:rPr>
          <w:bCs/>
        </w:rPr>
      </w:pPr>
    </w:p>
    <w:p w14:paraId="54FFCC06" w14:textId="77777777" w:rsidR="00CE6FC7" w:rsidRPr="00E917D7" w:rsidRDefault="00CE6FC7" w:rsidP="00CE6FC7">
      <w:pPr>
        <w:jc w:val="both"/>
        <w:rPr>
          <w:bCs/>
          <w:highlight w:val="yellow"/>
        </w:rPr>
      </w:pPr>
      <w:r w:rsidRPr="003E0E66">
        <w:rPr>
          <w:b/>
          <w:bCs/>
        </w:rPr>
        <w:t>066 Rashodi vezani za stanovanje i kom. pogodnosti koji nisu drugdje svrstani</w:t>
      </w:r>
      <w:r>
        <w:rPr>
          <w:bCs/>
        </w:rPr>
        <w:t xml:space="preserve"> – povećanje ovih rashoda vezano je za usklađenje baze obveznika komunalne naknade u 2022., troškove produkcije dokumenata i poštarine, unaprjeđenje aplikativnog rješenja za vođenje baze obvezanika komunalne naknade i dr. troškove s ovog osnova.</w:t>
      </w:r>
    </w:p>
    <w:p w14:paraId="7442EB73" w14:textId="77777777" w:rsidR="00CE6FC7" w:rsidRPr="00E917D7" w:rsidRDefault="00CE6FC7" w:rsidP="00CE6FC7">
      <w:pPr>
        <w:jc w:val="both"/>
        <w:rPr>
          <w:highlight w:val="yellow"/>
        </w:rPr>
      </w:pPr>
    </w:p>
    <w:p w14:paraId="464FA2D9" w14:textId="77777777" w:rsidR="00CE6FC7" w:rsidRDefault="00CE6FC7" w:rsidP="00CE6FC7">
      <w:pPr>
        <w:jc w:val="both"/>
        <w:rPr>
          <w:bCs/>
        </w:rPr>
      </w:pPr>
      <w:r>
        <w:rPr>
          <w:b/>
        </w:rPr>
        <w:t>076</w:t>
      </w:r>
      <w:r w:rsidRPr="00E917D7">
        <w:rPr>
          <w:b/>
        </w:rPr>
        <w:t xml:space="preserve"> Poslovi i usluge zdravstva koji nisu drugdje svrstani </w:t>
      </w:r>
      <w:r w:rsidRPr="003E0E66">
        <w:t>manji</w:t>
      </w:r>
      <w:r>
        <w:rPr>
          <w:b/>
        </w:rPr>
        <w:t xml:space="preserve"> </w:t>
      </w:r>
      <w:r w:rsidRPr="00E917D7">
        <w:rPr>
          <w:bCs/>
        </w:rPr>
        <w:t xml:space="preserve">su za </w:t>
      </w:r>
      <w:r>
        <w:rPr>
          <w:bCs/>
        </w:rPr>
        <w:t>5</w:t>
      </w:r>
      <w:r w:rsidRPr="00E917D7">
        <w:rPr>
          <w:bCs/>
        </w:rPr>
        <w:t>.</w:t>
      </w:r>
      <w:r>
        <w:rPr>
          <w:bCs/>
        </w:rPr>
        <w:t>438</w:t>
      </w:r>
      <w:r w:rsidRPr="00E917D7">
        <w:rPr>
          <w:bCs/>
        </w:rPr>
        <w:t>.</w:t>
      </w:r>
      <w:r>
        <w:rPr>
          <w:bCs/>
        </w:rPr>
        <w:t>563,93</w:t>
      </w:r>
      <w:r w:rsidRPr="00E917D7">
        <w:rPr>
          <w:bCs/>
        </w:rPr>
        <w:t xml:space="preserve"> kn</w:t>
      </w:r>
      <w:r>
        <w:rPr>
          <w:bCs/>
        </w:rPr>
        <w:t xml:space="preserve"> ili 65,5% i</w:t>
      </w:r>
      <w:r w:rsidRPr="00E917D7">
        <w:rPr>
          <w:bCs/>
        </w:rPr>
        <w:t xml:space="preserve"> odnose se na</w:t>
      </w:r>
      <w:r>
        <w:rPr>
          <w:bCs/>
        </w:rPr>
        <w:t xml:space="preserve"> rashode za kontrolu i suzbijanje komaraca koji su, uslijed vremenskih uvjeta koji nisu bili pogodni za razvoj ličinki komaraca, realizirani u iznosu od samo 368.438,82 kn.</w:t>
      </w:r>
    </w:p>
    <w:p w14:paraId="78273346" w14:textId="77777777" w:rsidR="00CE6FC7" w:rsidRDefault="00CE6FC7" w:rsidP="00CE6FC7">
      <w:pPr>
        <w:jc w:val="both"/>
        <w:rPr>
          <w:bCs/>
        </w:rPr>
      </w:pPr>
    </w:p>
    <w:p w14:paraId="12E6F979" w14:textId="77777777" w:rsidR="00CE6FC7" w:rsidRPr="00E917D7" w:rsidRDefault="00CE6FC7" w:rsidP="00CE6FC7">
      <w:pPr>
        <w:jc w:val="both"/>
        <w:rPr>
          <w:bCs/>
          <w:highlight w:val="yellow"/>
        </w:rPr>
      </w:pPr>
      <w:r w:rsidRPr="00820B7D">
        <w:rPr>
          <w:b/>
          <w:bCs/>
        </w:rPr>
        <w:t>081 Službe rekreacije i sporta</w:t>
      </w:r>
      <w:r>
        <w:rPr>
          <w:bCs/>
        </w:rPr>
        <w:t xml:space="preserve"> – ovi rashodi veći su za 30.636.546,77 kn ili 72,1%. Povećanje je prvenstveno vezano za rekonstrukciju kupališta </w:t>
      </w:r>
      <w:proofErr w:type="spellStart"/>
      <w:r>
        <w:rPr>
          <w:bCs/>
        </w:rPr>
        <w:t>Copacabana</w:t>
      </w:r>
      <w:proofErr w:type="spellEnd"/>
      <w:r>
        <w:rPr>
          <w:bCs/>
        </w:rPr>
        <w:t xml:space="preserve"> za koju je u 2022. izdvojeno 27.635.523,28 kn.</w:t>
      </w:r>
    </w:p>
    <w:p w14:paraId="41FD3FF1" w14:textId="77777777" w:rsidR="00CE6FC7" w:rsidRPr="00E917D7" w:rsidRDefault="00CE6FC7" w:rsidP="00CE6FC7">
      <w:pPr>
        <w:jc w:val="both"/>
        <w:rPr>
          <w:b/>
          <w:highlight w:val="yellow"/>
        </w:rPr>
      </w:pPr>
    </w:p>
    <w:p w14:paraId="39625115" w14:textId="41A8401F" w:rsidR="004D3D05" w:rsidRDefault="00CE6FC7" w:rsidP="00CE6FC7">
      <w:pPr>
        <w:jc w:val="both"/>
        <w:rPr>
          <w:bCs/>
        </w:rPr>
      </w:pPr>
      <w:r>
        <w:rPr>
          <w:b/>
        </w:rPr>
        <w:t xml:space="preserve">082 </w:t>
      </w:r>
      <w:r w:rsidRPr="00E917D7">
        <w:rPr>
          <w:b/>
        </w:rPr>
        <w:t>Službe kulture</w:t>
      </w:r>
      <w:r>
        <w:rPr>
          <w:b/>
        </w:rPr>
        <w:t xml:space="preserve"> – </w:t>
      </w:r>
      <w:r w:rsidR="004D3D05">
        <w:t>rashodi u okviru ove funkcijske klasifikacije vezani su za financiranje ustanova u kulturi Hrvatsko narodno kazalište u Osijeku, Dječje kazalište Branka Mihaljevića, Gradske galerije Osijek</w:t>
      </w:r>
      <w:r w:rsidR="006F3B24">
        <w:t xml:space="preserve"> i Kulturni centar Osijek. U 2022. Grad Osijek izvršio je pokriće manjka ustanovi Gradske galerije Osijek dok su Grad Osijek i Osječko baranjska županija izvršili pokriće manjka za Hrvatsko narodno kazalište</w:t>
      </w:r>
      <w:r w:rsidR="006F3B24">
        <w:rPr>
          <w:bCs/>
        </w:rPr>
        <w:t xml:space="preserve"> u iznosu 976.160,00 kn.  </w:t>
      </w:r>
    </w:p>
    <w:p w14:paraId="0C5DD82E" w14:textId="77777777" w:rsidR="006F3B24" w:rsidRDefault="006F3B24" w:rsidP="00CE6FC7">
      <w:pPr>
        <w:jc w:val="both"/>
        <w:rPr>
          <w:bCs/>
        </w:rPr>
      </w:pPr>
    </w:p>
    <w:p w14:paraId="5FA50D59" w14:textId="0FAD9594" w:rsidR="004D3D05" w:rsidRPr="00E917D7" w:rsidRDefault="004D3D05" w:rsidP="00CE6FC7">
      <w:pPr>
        <w:jc w:val="both"/>
        <w:rPr>
          <w:bCs/>
        </w:rPr>
      </w:pPr>
      <w:r w:rsidRPr="004D3D05">
        <w:rPr>
          <w:b/>
          <w:bCs/>
        </w:rPr>
        <w:t>0911 Predškolski odgoj</w:t>
      </w:r>
      <w:r>
        <w:rPr>
          <w:bCs/>
        </w:rPr>
        <w:t xml:space="preserve">-povećanje ovih rashoda </w:t>
      </w:r>
      <w:r w:rsidR="00F326E7">
        <w:rPr>
          <w:bCs/>
        </w:rPr>
        <w:t xml:space="preserve">najvećim dijelom je </w:t>
      </w:r>
      <w:r>
        <w:rPr>
          <w:bCs/>
        </w:rPr>
        <w:t xml:space="preserve">vezano za povećanje plaća zaposlenima u proračunskom korisniku Dječji vrtić Osijek. Iste se usklađuju s plaćama zaposlenih u osnovnom školstvu. </w:t>
      </w:r>
    </w:p>
    <w:p w14:paraId="0AF70856" w14:textId="77777777" w:rsidR="00CE6FC7" w:rsidRPr="00E917D7" w:rsidRDefault="00CE6FC7" w:rsidP="00CE6FC7">
      <w:pPr>
        <w:jc w:val="both"/>
        <w:rPr>
          <w:b/>
          <w:highlight w:val="yellow"/>
        </w:rPr>
      </w:pPr>
    </w:p>
    <w:p w14:paraId="42078B62" w14:textId="6BE222D8" w:rsidR="00CE6FC7" w:rsidRDefault="00CE6FC7" w:rsidP="00CE6FC7">
      <w:pPr>
        <w:jc w:val="both"/>
        <w:rPr>
          <w:bCs/>
        </w:rPr>
      </w:pPr>
      <w:r>
        <w:rPr>
          <w:b/>
        </w:rPr>
        <w:t>0912</w:t>
      </w:r>
      <w:r w:rsidRPr="00E917D7">
        <w:rPr>
          <w:b/>
        </w:rPr>
        <w:t xml:space="preserve"> </w:t>
      </w:r>
      <w:r>
        <w:rPr>
          <w:b/>
        </w:rPr>
        <w:t>O</w:t>
      </w:r>
      <w:r w:rsidRPr="00E917D7">
        <w:rPr>
          <w:b/>
        </w:rPr>
        <w:t xml:space="preserve">snovno obrazovanje </w:t>
      </w:r>
      <w:r w:rsidRPr="00007C9D">
        <w:t>O</w:t>
      </w:r>
      <w:r w:rsidRPr="00007C9D">
        <w:rPr>
          <w:bCs/>
        </w:rPr>
        <w:t>vi</w:t>
      </w:r>
      <w:r>
        <w:rPr>
          <w:bCs/>
        </w:rPr>
        <w:t xml:space="preserve"> rashodi</w:t>
      </w:r>
      <w:r w:rsidRPr="00E917D7">
        <w:rPr>
          <w:bCs/>
        </w:rPr>
        <w:t xml:space="preserve"> vezan</w:t>
      </w:r>
      <w:r>
        <w:rPr>
          <w:bCs/>
        </w:rPr>
        <w:t xml:space="preserve">i su </w:t>
      </w:r>
      <w:r w:rsidR="004D3D05">
        <w:rPr>
          <w:bCs/>
        </w:rPr>
        <w:t xml:space="preserve">financiranje osnovnih škola na području grada Osijeka. Rast je prvenstveno vezan za povećanje plaća zaposlenih u osnovnim školama te dijelom za rast energenata. Također je </w:t>
      </w:r>
      <w:r w:rsidRPr="00E917D7">
        <w:rPr>
          <w:bCs/>
        </w:rPr>
        <w:t>završe</w:t>
      </w:r>
      <w:r>
        <w:rPr>
          <w:bCs/>
        </w:rPr>
        <w:t xml:space="preserve">n </w:t>
      </w:r>
      <w:r w:rsidRPr="00E917D7">
        <w:rPr>
          <w:bCs/>
        </w:rPr>
        <w:t>projekt energetsk</w:t>
      </w:r>
      <w:r>
        <w:rPr>
          <w:bCs/>
        </w:rPr>
        <w:t>e</w:t>
      </w:r>
      <w:r w:rsidRPr="00E917D7">
        <w:rPr>
          <w:bCs/>
        </w:rPr>
        <w:t xml:space="preserve"> obnov</w:t>
      </w:r>
      <w:r>
        <w:rPr>
          <w:bCs/>
        </w:rPr>
        <w:t>e</w:t>
      </w:r>
      <w:r w:rsidRPr="00E917D7">
        <w:rPr>
          <w:bCs/>
        </w:rPr>
        <w:t xml:space="preserve"> </w:t>
      </w:r>
      <w:r>
        <w:rPr>
          <w:bCs/>
        </w:rPr>
        <w:t>Osnovne</w:t>
      </w:r>
      <w:r w:rsidRPr="00E917D7">
        <w:rPr>
          <w:bCs/>
        </w:rPr>
        <w:t xml:space="preserve"> škol</w:t>
      </w:r>
      <w:r>
        <w:rPr>
          <w:bCs/>
        </w:rPr>
        <w:t>e Franje Krežme u Osijeku za koji je u 2022. izdvojeno 6.021.194,35 kn.</w:t>
      </w:r>
    </w:p>
    <w:p w14:paraId="367AF4A9" w14:textId="77777777" w:rsidR="00CE6FC7" w:rsidRDefault="00CE6FC7" w:rsidP="00CE6FC7">
      <w:pPr>
        <w:jc w:val="both"/>
        <w:rPr>
          <w:bCs/>
        </w:rPr>
      </w:pPr>
    </w:p>
    <w:p w14:paraId="2608CADE" w14:textId="77777777" w:rsidR="00CE6FC7" w:rsidRPr="00FC0435" w:rsidRDefault="00CE6FC7" w:rsidP="00CE6FC7">
      <w:pPr>
        <w:jc w:val="both"/>
        <w:rPr>
          <w:bCs/>
        </w:rPr>
      </w:pPr>
      <w:r w:rsidRPr="00FC0435">
        <w:rPr>
          <w:b/>
          <w:bCs/>
        </w:rPr>
        <w:t>106 Stanovanje</w:t>
      </w:r>
      <w:r w:rsidRPr="00FC0435">
        <w:rPr>
          <w:bCs/>
        </w:rPr>
        <w:t>- ovi rashodi manji su za 985.716,63 kn</w:t>
      </w:r>
      <w:r>
        <w:rPr>
          <w:bCs/>
        </w:rPr>
        <w:t>. Manje su izvršene naknade za troškove stanovanja u iznosu 544.251,63 kn, dok se troškovi ogrjeva sukladno uputi ministarstva od 2022. ne iskazuju kao prihod/rashod.</w:t>
      </w:r>
    </w:p>
    <w:p w14:paraId="3A5B6776" w14:textId="77777777" w:rsidR="00CE6FC7" w:rsidRPr="00FC0435" w:rsidRDefault="00CE6FC7" w:rsidP="00CE6FC7">
      <w:pPr>
        <w:jc w:val="both"/>
        <w:rPr>
          <w:b/>
        </w:rPr>
      </w:pPr>
    </w:p>
    <w:p w14:paraId="5F9CF846" w14:textId="77777777" w:rsidR="00CE6FC7" w:rsidRPr="00E917D7" w:rsidRDefault="00CE6FC7" w:rsidP="00CE6FC7">
      <w:pPr>
        <w:jc w:val="both"/>
        <w:rPr>
          <w:bCs/>
        </w:rPr>
      </w:pPr>
      <w:r>
        <w:rPr>
          <w:b/>
        </w:rPr>
        <w:t>107</w:t>
      </w:r>
      <w:r w:rsidRPr="00E917D7">
        <w:rPr>
          <w:b/>
        </w:rPr>
        <w:t xml:space="preserve"> Socijalna pomoć stanovništvu koje nije obuhvaćeno redovnim socijalnim programom </w:t>
      </w:r>
      <w:r w:rsidRPr="00E917D7">
        <w:rPr>
          <w:bCs/>
        </w:rPr>
        <w:t xml:space="preserve">Povećanje za </w:t>
      </w:r>
      <w:r>
        <w:rPr>
          <w:bCs/>
        </w:rPr>
        <w:t>582</w:t>
      </w:r>
      <w:r w:rsidRPr="00E917D7">
        <w:rPr>
          <w:bCs/>
        </w:rPr>
        <w:t>.</w:t>
      </w:r>
      <w:r>
        <w:rPr>
          <w:bCs/>
        </w:rPr>
        <w:t>520,12</w:t>
      </w:r>
      <w:r w:rsidRPr="00E917D7">
        <w:rPr>
          <w:bCs/>
        </w:rPr>
        <w:t xml:space="preserve"> kn</w:t>
      </w:r>
      <w:r>
        <w:rPr>
          <w:bCs/>
        </w:rPr>
        <w:t xml:space="preserve"> ili 28,1%</w:t>
      </w:r>
      <w:r w:rsidRPr="00E917D7">
        <w:rPr>
          <w:bCs/>
        </w:rPr>
        <w:t xml:space="preserve"> u odnosu na 202</w:t>
      </w:r>
      <w:r>
        <w:rPr>
          <w:bCs/>
        </w:rPr>
        <w:t>1</w:t>
      </w:r>
      <w:r w:rsidRPr="00E917D7">
        <w:rPr>
          <w:bCs/>
        </w:rPr>
        <w:t xml:space="preserve">. odnosi se </w:t>
      </w:r>
      <w:r>
        <w:rPr>
          <w:bCs/>
        </w:rPr>
        <w:t>provedbu</w:t>
      </w:r>
      <w:r w:rsidRPr="00E917D7">
        <w:rPr>
          <w:bCs/>
        </w:rPr>
        <w:t xml:space="preserve"> projekata Umirovljenici zajedno protiv socijalne isključenosti, REINSER i </w:t>
      </w:r>
      <w:proofErr w:type="spellStart"/>
      <w:r w:rsidRPr="00E917D7">
        <w:rPr>
          <w:bCs/>
        </w:rPr>
        <w:t>KolOsijek</w:t>
      </w:r>
      <w:proofErr w:type="spellEnd"/>
      <w:r w:rsidRPr="00E917D7">
        <w:rPr>
          <w:bCs/>
        </w:rPr>
        <w:t>.</w:t>
      </w:r>
    </w:p>
    <w:p w14:paraId="23ED908A" w14:textId="77777777" w:rsidR="00CE6FC7" w:rsidRPr="00E917D7" w:rsidRDefault="00CE6FC7" w:rsidP="00CE6FC7">
      <w:pPr>
        <w:jc w:val="both"/>
        <w:rPr>
          <w:b/>
          <w:highlight w:val="yellow"/>
        </w:rPr>
      </w:pPr>
    </w:p>
    <w:p w14:paraId="6BCEC251" w14:textId="77777777" w:rsidR="00CE6FC7" w:rsidRPr="00E917D7" w:rsidRDefault="00CE6FC7" w:rsidP="00CE6FC7">
      <w:pPr>
        <w:jc w:val="both"/>
        <w:rPr>
          <w:bCs/>
        </w:rPr>
      </w:pPr>
      <w:r>
        <w:rPr>
          <w:b/>
        </w:rPr>
        <w:t>109</w:t>
      </w:r>
      <w:r w:rsidRPr="00E917D7">
        <w:rPr>
          <w:b/>
        </w:rPr>
        <w:t xml:space="preserve"> – Aktivnosti socijalne zaštite koje nisu drugdje svrstane </w:t>
      </w:r>
      <w:r w:rsidRPr="00E917D7">
        <w:rPr>
          <w:bCs/>
        </w:rPr>
        <w:t>U odnosu na 202</w:t>
      </w:r>
      <w:r>
        <w:rPr>
          <w:bCs/>
        </w:rPr>
        <w:t>1</w:t>
      </w:r>
      <w:r w:rsidRPr="00E917D7">
        <w:rPr>
          <w:bCs/>
        </w:rPr>
        <w:t xml:space="preserve">. </w:t>
      </w:r>
      <w:r>
        <w:rPr>
          <w:bCs/>
        </w:rPr>
        <w:t>manje</w:t>
      </w:r>
      <w:r w:rsidRPr="00E917D7">
        <w:rPr>
          <w:bCs/>
        </w:rPr>
        <w:t xml:space="preserve"> su za </w:t>
      </w:r>
      <w:r>
        <w:rPr>
          <w:bCs/>
        </w:rPr>
        <w:t>636</w:t>
      </w:r>
      <w:r w:rsidRPr="00E917D7">
        <w:rPr>
          <w:bCs/>
        </w:rPr>
        <w:t>.</w:t>
      </w:r>
      <w:r>
        <w:rPr>
          <w:bCs/>
        </w:rPr>
        <w:t>084,25</w:t>
      </w:r>
      <w:r w:rsidRPr="00E917D7">
        <w:rPr>
          <w:bCs/>
        </w:rPr>
        <w:t xml:space="preserve"> kn</w:t>
      </w:r>
      <w:r>
        <w:rPr>
          <w:bCs/>
        </w:rPr>
        <w:t xml:space="preserve"> ili 6,5%</w:t>
      </w:r>
      <w:r w:rsidRPr="00E917D7">
        <w:rPr>
          <w:bCs/>
        </w:rPr>
        <w:t>, a odnose se na kapitalnu pomoć KBC Osijek u iznosu od 628.884,56 kn i povećanu iznos za pronatalitetne aktivnosti Grada, pomoć roditeljima za novorođenu djecu.</w:t>
      </w:r>
    </w:p>
    <w:p w14:paraId="76018280" w14:textId="77777777" w:rsidR="00CE6FC7" w:rsidRPr="00E917D7" w:rsidRDefault="00CE6FC7" w:rsidP="00CE6FC7">
      <w:pPr>
        <w:jc w:val="both"/>
        <w:rPr>
          <w:bCs/>
        </w:rPr>
      </w:pPr>
    </w:p>
    <w:p w14:paraId="32F86A0D" w14:textId="77777777" w:rsidR="00CE6FC7" w:rsidRPr="00E917D7" w:rsidRDefault="00CE6FC7" w:rsidP="00CE6FC7">
      <w:pPr>
        <w:jc w:val="both"/>
        <w:rPr>
          <w:bCs/>
        </w:rPr>
      </w:pPr>
    </w:p>
    <w:p w14:paraId="7F0950CE" w14:textId="77777777" w:rsidR="00CE6FC7" w:rsidRPr="00E917D7" w:rsidRDefault="00CE6FC7" w:rsidP="00CE6FC7">
      <w:pPr>
        <w:jc w:val="both"/>
        <w:rPr>
          <w:bCs/>
        </w:rPr>
      </w:pPr>
    </w:p>
    <w:p w14:paraId="6D052EDB" w14:textId="77777777" w:rsidR="008A4FC7" w:rsidRDefault="008A4FC7" w:rsidP="008A4FC7">
      <w:pPr>
        <w:jc w:val="both"/>
        <w:rPr>
          <w:bCs/>
        </w:rPr>
      </w:pPr>
    </w:p>
    <w:p w14:paraId="7AE36BA9" w14:textId="77777777" w:rsidR="008A4FC7" w:rsidRDefault="008A4FC7" w:rsidP="008A4FC7">
      <w:pPr>
        <w:jc w:val="both"/>
        <w:rPr>
          <w:bCs/>
        </w:rPr>
      </w:pPr>
    </w:p>
    <w:p w14:paraId="01A62603" w14:textId="77777777" w:rsidR="008A4FC7" w:rsidRDefault="008A4FC7" w:rsidP="008A4FC7">
      <w:pPr>
        <w:jc w:val="both"/>
        <w:rPr>
          <w:bCs/>
        </w:rPr>
      </w:pPr>
    </w:p>
    <w:p w14:paraId="5E0CFF0E" w14:textId="77777777" w:rsidR="008A4FC7" w:rsidRDefault="008A4FC7" w:rsidP="008A4FC7">
      <w:pPr>
        <w:ind w:left="5664" w:firstLine="708"/>
        <w:jc w:val="both"/>
        <w:rPr>
          <w:bCs/>
        </w:rPr>
      </w:pPr>
      <w:r>
        <w:rPr>
          <w:bCs/>
        </w:rPr>
        <w:t xml:space="preserve">     Zakonski predstavnik</w:t>
      </w:r>
    </w:p>
    <w:p w14:paraId="33A19E3F" w14:textId="77777777" w:rsidR="008A4FC7" w:rsidRDefault="008A4FC7" w:rsidP="008A4FC7">
      <w:pPr>
        <w:jc w:val="right"/>
        <w:rPr>
          <w:bCs/>
        </w:rPr>
      </w:pPr>
    </w:p>
    <w:p w14:paraId="5A4093E1" w14:textId="77777777" w:rsidR="008A4FC7" w:rsidRPr="00186A82" w:rsidRDefault="008A4FC7" w:rsidP="008A4FC7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</w:t>
      </w:r>
    </w:p>
    <w:p w14:paraId="32635761" w14:textId="7A75F308" w:rsidR="00E25648" w:rsidRPr="00C83FE2" w:rsidRDefault="008A4FC7" w:rsidP="008A4FC7">
      <w:pPr>
        <w:ind w:firstLine="708"/>
        <w:jc w:val="both"/>
        <w:rPr>
          <w:b/>
          <w:highlight w:val="yellow"/>
        </w:rPr>
      </w:pPr>
      <w:r>
        <w:rPr>
          <w:b/>
        </w:rPr>
        <w:br w:type="page"/>
      </w:r>
    </w:p>
    <w:p w14:paraId="281BE44E" w14:textId="77777777" w:rsidR="00E25648" w:rsidRPr="00C83FE2" w:rsidRDefault="00E25648" w:rsidP="0037783F">
      <w:pPr>
        <w:ind w:firstLine="708"/>
        <w:jc w:val="both"/>
        <w:rPr>
          <w:b/>
          <w:highlight w:val="yellow"/>
        </w:rPr>
      </w:pPr>
    </w:p>
    <w:p w14:paraId="5112436D" w14:textId="77777777" w:rsidR="000C2065" w:rsidRPr="00C83FE2" w:rsidRDefault="000C2065" w:rsidP="00D80E9F">
      <w:pPr>
        <w:jc w:val="center"/>
        <w:rPr>
          <w:b/>
          <w:highlight w:val="yellow"/>
        </w:rPr>
      </w:pPr>
    </w:p>
    <w:p w14:paraId="0A0AF5B5" w14:textId="1C01AD52" w:rsidR="00331586" w:rsidRPr="00C83FE2" w:rsidRDefault="00331586">
      <w:pPr>
        <w:spacing w:after="200" w:line="276" w:lineRule="auto"/>
        <w:rPr>
          <w:b/>
          <w:highlight w:val="yellow"/>
        </w:rPr>
      </w:pPr>
    </w:p>
    <w:sectPr w:rsidR="00331586" w:rsidRPr="00C83FE2" w:rsidSect="000D6AFC">
      <w:pgSz w:w="12240" w:h="15840" w:code="1"/>
      <w:pgMar w:top="1418" w:right="1418" w:bottom="1418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33F4D"/>
    <w:multiLevelType w:val="hybridMultilevel"/>
    <w:tmpl w:val="492EDBEA"/>
    <w:lvl w:ilvl="0" w:tplc="7F126DA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37538"/>
    <w:multiLevelType w:val="hybridMultilevel"/>
    <w:tmpl w:val="69D801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354C75"/>
    <w:multiLevelType w:val="hybridMultilevel"/>
    <w:tmpl w:val="58ECE3EA"/>
    <w:lvl w:ilvl="0" w:tplc="1702F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319EA"/>
    <w:multiLevelType w:val="hybridMultilevel"/>
    <w:tmpl w:val="053624EC"/>
    <w:lvl w:ilvl="0" w:tplc="4350DCB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181508711">
    <w:abstractNumId w:val="1"/>
  </w:num>
  <w:num w:numId="2" w16cid:durableId="1333483386">
    <w:abstractNumId w:val="2"/>
  </w:num>
  <w:num w:numId="3" w16cid:durableId="1925214987">
    <w:abstractNumId w:val="3"/>
  </w:num>
  <w:num w:numId="4" w16cid:durableId="71330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9F"/>
    <w:rsid w:val="0000009B"/>
    <w:rsid w:val="0000064C"/>
    <w:rsid w:val="00001191"/>
    <w:rsid w:val="0000321F"/>
    <w:rsid w:val="00003F5E"/>
    <w:rsid w:val="00004AF9"/>
    <w:rsid w:val="00005002"/>
    <w:rsid w:val="000062E1"/>
    <w:rsid w:val="00006328"/>
    <w:rsid w:val="00011D2D"/>
    <w:rsid w:val="000121C5"/>
    <w:rsid w:val="00012C7A"/>
    <w:rsid w:val="000141CE"/>
    <w:rsid w:val="000150C6"/>
    <w:rsid w:val="000153E5"/>
    <w:rsid w:val="000157C8"/>
    <w:rsid w:val="00016590"/>
    <w:rsid w:val="00017C72"/>
    <w:rsid w:val="00017E1E"/>
    <w:rsid w:val="00020D45"/>
    <w:rsid w:val="00021363"/>
    <w:rsid w:val="0002207F"/>
    <w:rsid w:val="00023327"/>
    <w:rsid w:val="0002397E"/>
    <w:rsid w:val="000259EA"/>
    <w:rsid w:val="000301E5"/>
    <w:rsid w:val="000310A0"/>
    <w:rsid w:val="000321BE"/>
    <w:rsid w:val="00035A84"/>
    <w:rsid w:val="000378FF"/>
    <w:rsid w:val="000406F8"/>
    <w:rsid w:val="000430C4"/>
    <w:rsid w:val="000430E2"/>
    <w:rsid w:val="00043151"/>
    <w:rsid w:val="00046880"/>
    <w:rsid w:val="00046898"/>
    <w:rsid w:val="0005203F"/>
    <w:rsid w:val="00054F68"/>
    <w:rsid w:val="00055980"/>
    <w:rsid w:val="00056823"/>
    <w:rsid w:val="00060126"/>
    <w:rsid w:val="00060765"/>
    <w:rsid w:val="00061EC9"/>
    <w:rsid w:val="000629B8"/>
    <w:rsid w:val="0006607A"/>
    <w:rsid w:val="000665B9"/>
    <w:rsid w:val="00067397"/>
    <w:rsid w:val="000678E9"/>
    <w:rsid w:val="00070EE2"/>
    <w:rsid w:val="00072AB3"/>
    <w:rsid w:val="000731FF"/>
    <w:rsid w:val="00073BD2"/>
    <w:rsid w:val="000756C0"/>
    <w:rsid w:val="000757F0"/>
    <w:rsid w:val="000818F4"/>
    <w:rsid w:val="00082226"/>
    <w:rsid w:val="00083AF6"/>
    <w:rsid w:val="00084163"/>
    <w:rsid w:val="00084D5E"/>
    <w:rsid w:val="0008531D"/>
    <w:rsid w:val="000859C6"/>
    <w:rsid w:val="00086054"/>
    <w:rsid w:val="000872F2"/>
    <w:rsid w:val="000919AC"/>
    <w:rsid w:val="00094C5C"/>
    <w:rsid w:val="00097188"/>
    <w:rsid w:val="000A0BA5"/>
    <w:rsid w:val="000A1CC5"/>
    <w:rsid w:val="000A3B60"/>
    <w:rsid w:val="000A78E6"/>
    <w:rsid w:val="000B2A54"/>
    <w:rsid w:val="000B37F4"/>
    <w:rsid w:val="000B5856"/>
    <w:rsid w:val="000B5BDC"/>
    <w:rsid w:val="000B68D9"/>
    <w:rsid w:val="000C0930"/>
    <w:rsid w:val="000C2065"/>
    <w:rsid w:val="000C35F3"/>
    <w:rsid w:val="000C371D"/>
    <w:rsid w:val="000C407D"/>
    <w:rsid w:val="000C45CF"/>
    <w:rsid w:val="000C5DAE"/>
    <w:rsid w:val="000C7AD9"/>
    <w:rsid w:val="000D23FF"/>
    <w:rsid w:val="000D27C8"/>
    <w:rsid w:val="000D3159"/>
    <w:rsid w:val="000D474F"/>
    <w:rsid w:val="000D6AFC"/>
    <w:rsid w:val="000D72D1"/>
    <w:rsid w:val="000E18D7"/>
    <w:rsid w:val="000E1B3E"/>
    <w:rsid w:val="000E73BA"/>
    <w:rsid w:val="000E7597"/>
    <w:rsid w:val="000F1401"/>
    <w:rsid w:val="000F2024"/>
    <w:rsid w:val="000F78A7"/>
    <w:rsid w:val="000F7EBB"/>
    <w:rsid w:val="0010035F"/>
    <w:rsid w:val="00100583"/>
    <w:rsid w:val="001007B0"/>
    <w:rsid w:val="001031C8"/>
    <w:rsid w:val="001038F0"/>
    <w:rsid w:val="00105B74"/>
    <w:rsid w:val="00105C46"/>
    <w:rsid w:val="00113347"/>
    <w:rsid w:val="00113AB7"/>
    <w:rsid w:val="00120BC9"/>
    <w:rsid w:val="0012253E"/>
    <w:rsid w:val="00126753"/>
    <w:rsid w:val="00126B8E"/>
    <w:rsid w:val="0012778F"/>
    <w:rsid w:val="00131043"/>
    <w:rsid w:val="001406F2"/>
    <w:rsid w:val="001412C1"/>
    <w:rsid w:val="00142A7A"/>
    <w:rsid w:val="00145115"/>
    <w:rsid w:val="00150800"/>
    <w:rsid w:val="00152117"/>
    <w:rsid w:val="001531DD"/>
    <w:rsid w:val="00153627"/>
    <w:rsid w:val="001616CB"/>
    <w:rsid w:val="00162AA1"/>
    <w:rsid w:val="001632F4"/>
    <w:rsid w:val="00163437"/>
    <w:rsid w:val="00163EFF"/>
    <w:rsid w:val="001651F7"/>
    <w:rsid w:val="00165CAC"/>
    <w:rsid w:val="001673D6"/>
    <w:rsid w:val="00171FCF"/>
    <w:rsid w:val="00172E00"/>
    <w:rsid w:val="00174580"/>
    <w:rsid w:val="00174D57"/>
    <w:rsid w:val="00175001"/>
    <w:rsid w:val="00176DF6"/>
    <w:rsid w:val="00177232"/>
    <w:rsid w:val="00177372"/>
    <w:rsid w:val="00187FBC"/>
    <w:rsid w:val="001947F1"/>
    <w:rsid w:val="0019561E"/>
    <w:rsid w:val="00195E3E"/>
    <w:rsid w:val="001976BB"/>
    <w:rsid w:val="001A0886"/>
    <w:rsid w:val="001A7C98"/>
    <w:rsid w:val="001A7EA7"/>
    <w:rsid w:val="001B1C29"/>
    <w:rsid w:val="001B6254"/>
    <w:rsid w:val="001C0EBB"/>
    <w:rsid w:val="001C68E5"/>
    <w:rsid w:val="001C7263"/>
    <w:rsid w:val="001C7F04"/>
    <w:rsid w:val="001D104B"/>
    <w:rsid w:val="001D1315"/>
    <w:rsid w:val="001D2626"/>
    <w:rsid w:val="001D412B"/>
    <w:rsid w:val="001E361C"/>
    <w:rsid w:val="001E46C0"/>
    <w:rsid w:val="001E4A15"/>
    <w:rsid w:val="001E64A8"/>
    <w:rsid w:val="001E7206"/>
    <w:rsid w:val="001E76B2"/>
    <w:rsid w:val="001F00D6"/>
    <w:rsid w:val="001F1DC4"/>
    <w:rsid w:val="001F434A"/>
    <w:rsid w:val="001F4D7C"/>
    <w:rsid w:val="00202E6C"/>
    <w:rsid w:val="0020369B"/>
    <w:rsid w:val="00203A20"/>
    <w:rsid w:val="00203A92"/>
    <w:rsid w:val="0020437C"/>
    <w:rsid w:val="00205327"/>
    <w:rsid w:val="00205603"/>
    <w:rsid w:val="00206D0C"/>
    <w:rsid w:val="00207BF0"/>
    <w:rsid w:val="00211FDE"/>
    <w:rsid w:val="00213CF8"/>
    <w:rsid w:val="00216A90"/>
    <w:rsid w:val="0022192F"/>
    <w:rsid w:val="00223171"/>
    <w:rsid w:val="00224630"/>
    <w:rsid w:val="0023096B"/>
    <w:rsid w:val="002325FA"/>
    <w:rsid w:val="00233A42"/>
    <w:rsid w:val="00235D87"/>
    <w:rsid w:val="00241A82"/>
    <w:rsid w:val="002443EA"/>
    <w:rsid w:val="00250D88"/>
    <w:rsid w:val="002527F0"/>
    <w:rsid w:val="00254C25"/>
    <w:rsid w:val="00257DDE"/>
    <w:rsid w:val="002632EE"/>
    <w:rsid w:val="00263364"/>
    <w:rsid w:val="00263409"/>
    <w:rsid w:val="00263BC9"/>
    <w:rsid w:val="00266D5D"/>
    <w:rsid w:val="002733C1"/>
    <w:rsid w:val="002755E8"/>
    <w:rsid w:val="00280ABF"/>
    <w:rsid w:val="002825B1"/>
    <w:rsid w:val="00282B27"/>
    <w:rsid w:val="00286C65"/>
    <w:rsid w:val="00291AE8"/>
    <w:rsid w:val="00296D7D"/>
    <w:rsid w:val="002A1361"/>
    <w:rsid w:val="002A15D9"/>
    <w:rsid w:val="002A585E"/>
    <w:rsid w:val="002A5E35"/>
    <w:rsid w:val="002A6484"/>
    <w:rsid w:val="002A6A7E"/>
    <w:rsid w:val="002B07E3"/>
    <w:rsid w:val="002B2E3B"/>
    <w:rsid w:val="002B37AF"/>
    <w:rsid w:val="002B39A6"/>
    <w:rsid w:val="002C0210"/>
    <w:rsid w:val="002C14D4"/>
    <w:rsid w:val="002C49DB"/>
    <w:rsid w:val="002D21DE"/>
    <w:rsid w:val="002D2256"/>
    <w:rsid w:val="002D51E3"/>
    <w:rsid w:val="002E00E2"/>
    <w:rsid w:val="002E1350"/>
    <w:rsid w:val="002E45E8"/>
    <w:rsid w:val="002E6949"/>
    <w:rsid w:val="002E78BE"/>
    <w:rsid w:val="002E7A46"/>
    <w:rsid w:val="002F0E02"/>
    <w:rsid w:val="002F150C"/>
    <w:rsid w:val="002F21E5"/>
    <w:rsid w:val="002F40BB"/>
    <w:rsid w:val="002F6866"/>
    <w:rsid w:val="002F7F31"/>
    <w:rsid w:val="003048F2"/>
    <w:rsid w:val="003104C5"/>
    <w:rsid w:val="00313F5E"/>
    <w:rsid w:val="003140EC"/>
    <w:rsid w:val="003162DC"/>
    <w:rsid w:val="0031798D"/>
    <w:rsid w:val="00317A99"/>
    <w:rsid w:val="00322D79"/>
    <w:rsid w:val="003230C0"/>
    <w:rsid w:val="00327BF2"/>
    <w:rsid w:val="00331586"/>
    <w:rsid w:val="00335FD3"/>
    <w:rsid w:val="00336337"/>
    <w:rsid w:val="00342A78"/>
    <w:rsid w:val="00345D70"/>
    <w:rsid w:val="00346E0C"/>
    <w:rsid w:val="00350CFE"/>
    <w:rsid w:val="00351DF3"/>
    <w:rsid w:val="003533C7"/>
    <w:rsid w:val="003569BD"/>
    <w:rsid w:val="0035737D"/>
    <w:rsid w:val="00357C3E"/>
    <w:rsid w:val="00357DC0"/>
    <w:rsid w:val="003606EC"/>
    <w:rsid w:val="003608AE"/>
    <w:rsid w:val="00361881"/>
    <w:rsid w:val="003634AE"/>
    <w:rsid w:val="003640A9"/>
    <w:rsid w:val="00364AB7"/>
    <w:rsid w:val="00365982"/>
    <w:rsid w:val="00365F9F"/>
    <w:rsid w:val="00366201"/>
    <w:rsid w:val="00366B17"/>
    <w:rsid w:val="00374F14"/>
    <w:rsid w:val="00375D61"/>
    <w:rsid w:val="00375DFA"/>
    <w:rsid w:val="00376AE3"/>
    <w:rsid w:val="0037783F"/>
    <w:rsid w:val="00380C57"/>
    <w:rsid w:val="00380DAA"/>
    <w:rsid w:val="00384C93"/>
    <w:rsid w:val="00385D83"/>
    <w:rsid w:val="0038671B"/>
    <w:rsid w:val="003875CB"/>
    <w:rsid w:val="00391B5D"/>
    <w:rsid w:val="00393070"/>
    <w:rsid w:val="003937D9"/>
    <w:rsid w:val="00394CD6"/>
    <w:rsid w:val="003A0047"/>
    <w:rsid w:val="003A29FB"/>
    <w:rsid w:val="003A36E8"/>
    <w:rsid w:val="003A5A9B"/>
    <w:rsid w:val="003A5EF4"/>
    <w:rsid w:val="003A6C33"/>
    <w:rsid w:val="003B4B5C"/>
    <w:rsid w:val="003B61FB"/>
    <w:rsid w:val="003B72A9"/>
    <w:rsid w:val="003C0544"/>
    <w:rsid w:val="003C31E6"/>
    <w:rsid w:val="003C4B90"/>
    <w:rsid w:val="003C5334"/>
    <w:rsid w:val="003C7EA6"/>
    <w:rsid w:val="003D1ED5"/>
    <w:rsid w:val="003D2B7A"/>
    <w:rsid w:val="003D6094"/>
    <w:rsid w:val="003E373E"/>
    <w:rsid w:val="003E4DC5"/>
    <w:rsid w:val="003E58A6"/>
    <w:rsid w:val="003E687C"/>
    <w:rsid w:val="003E7ABD"/>
    <w:rsid w:val="003E7F7D"/>
    <w:rsid w:val="003F373D"/>
    <w:rsid w:val="003F507D"/>
    <w:rsid w:val="00401DD0"/>
    <w:rsid w:val="00402249"/>
    <w:rsid w:val="004025B3"/>
    <w:rsid w:val="0040468D"/>
    <w:rsid w:val="004060C3"/>
    <w:rsid w:val="004067C5"/>
    <w:rsid w:val="00406EE9"/>
    <w:rsid w:val="00411A77"/>
    <w:rsid w:val="00412EEA"/>
    <w:rsid w:val="00413835"/>
    <w:rsid w:val="00414D71"/>
    <w:rsid w:val="00415552"/>
    <w:rsid w:val="00421F05"/>
    <w:rsid w:val="004246D6"/>
    <w:rsid w:val="00426FE9"/>
    <w:rsid w:val="00427B83"/>
    <w:rsid w:val="0043290B"/>
    <w:rsid w:val="004332CB"/>
    <w:rsid w:val="0043365F"/>
    <w:rsid w:val="00435377"/>
    <w:rsid w:val="004368AE"/>
    <w:rsid w:val="0044048F"/>
    <w:rsid w:val="00440891"/>
    <w:rsid w:val="004440BD"/>
    <w:rsid w:val="00445884"/>
    <w:rsid w:val="004507BA"/>
    <w:rsid w:val="00450B95"/>
    <w:rsid w:val="00451BD0"/>
    <w:rsid w:val="00454AE3"/>
    <w:rsid w:val="00454C71"/>
    <w:rsid w:val="00456256"/>
    <w:rsid w:val="00456F73"/>
    <w:rsid w:val="0046095E"/>
    <w:rsid w:val="00460B47"/>
    <w:rsid w:val="004625E8"/>
    <w:rsid w:val="0046386B"/>
    <w:rsid w:val="00471AE8"/>
    <w:rsid w:val="00472A97"/>
    <w:rsid w:val="00473955"/>
    <w:rsid w:val="00474612"/>
    <w:rsid w:val="0047684E"/>
    <w:rsid w:val="00476C79"/>
    <w:rsid w:val="00476D38"/>
    <w:rsid w:val="00477598"/>
    <w:rsid w:val="00480110"/>
    <w:rsid w:val="004812E0"/>
    <w:rsid w:val="0048181C"/>
    <w:rsid w:val="00487864"/>
    <w:rsid w:val="00490A20"/>
    <w:rsid w:val="0049238B"/>
    <w:rsid w:val="004966D7"/>
    <w:rsid w:val="004A0085"/>
    <w:rsid w:val="004A2296"/>
    <w:rsid w:val="004A3CDC"/>
    <w:rsid w:val="004A41E2"/>
    <w:rsid w:val="004A73C9"/>
    <w:rsid w:val="004B40B9"/>
    <w:rsid w:val="004B494D"/>
    <w:rsid w:val="004B4999"/>
    <w:rsid w:val="004B51E1"/>
    <w:rsid w:val="004B6942"/>
    <w:rsid w:val="004C04E3"/>
    <w:rsid w:val="004C67BE"/>
    <w:rsid w:val="004C704D"/>
    <w:rsid w:val="004C7987"/>
    <w:rsid w:val="004D0B09"/>
    <w:rsid w:val="004D27CD"/>
    <w:rsid w:val="004D3D05"/>
    <w:rsid w:val="004D67B9"/>
    <w:rsid w:val="004E0010"/>
    <w:rsid w:val="004E543D"/>
    <w:rsid w:val="004E69FC"/>
    <w:rsid w:val="004E73EF"/>
    <w:rsid w:val="004E7B47"/>
    <w:rsid w:val="004F00CD"/>
    <w:rsid w:val="004F20B3"/>
    <w:rsid w:val="004F473A"/>
    <w:rsid w:val="004F5B40"/>
    <w:rsid w:val="004F5C38"/>
    <w:rsid w:val="004F6A8C"/>
    <w:rsid w:val="005003EC"/>
    <w:rsid w:val="005010B3"/>
    <w:rsid w:val="00506885"/>
    <w:rsid w:val="00510322"/>
    <w:rsid w:val="005110F3"/>
    <w:rsid w:val="00521C5C"/>
    <w:rsid w:val="005222DE"/>
    <w:rsid w:val="005223F2"/>
    <w:rsid w:val="005226E4"/>
    <w:rsid w:val="00522823"/>
    <w:rsid w:val="00531A6C"/>
    <w:rsid w:val="00533744"/>
    <w:rsid w:val="00535FAC"/>
    <w:rsid w:val="0054060F"/>
    <w:rsid w:val="00545759"/>
    <w:rsid w:val="00545EFA"/>
    <w:rsid w:val="005470A0"/>
    <w:rsid w:val="00547A78"/>
    <w:rsid w:val="005559A7"/>
    <w:rsid w:val="00555D92"/>
    <w:rsid w:val="00560DA1"/>
    <w:rsid w:val="005625AF"/>
    <w:rsid w:val="005643B4"/>
    <w:rsid w:val="0056786C"/>
    <w:rsid w:val="005742A1"/>
    <w:rsid w:val="00575751"/>
    <w:rsid w:val="00581471"/>
    <w:rsid w:val="00582F86"/>
    <w:rsid w:val="00583735"/>
    <w:rsid w:val="005843FD"/>
    <w:rsid w:val="0058587A"/>
    <w:rsid w:val="005868EC"/>
    <w:rsid w:val="00586B8F"/>
    <w:rsid w:val="00590CB4"/>
    <w:rsid w:val="00590E9F"/>
    <w:rsid w:val="0059422A"/>
    <w:rsid w:val="00595824"/>
    <w:rsid w:val="00595BB2"/>
    <w:rsid w:val="00596075"/>
    <w:rsid w:val="00596E5C"/>
    <w:rsid w:val="00597563"/>
    <w:rsid w:val="005A3EBC"/>
    <w:rsid w:val="005A6097"/>
    <w:rsid w:val="005A70CA"/>
    <w:rsid w:val="005A7ADF"/>
    <w:rsid w:val="005B0C86"/>
    <w:rsid w:val="005B1969"/>
    <w:rsid w:val="005B3445"/>
    <w:rsid w:val="005B4230"/>
    <w:rsid w:val="005B7AF5"/>
    <w:rsid w:val="005C1099"/>
    <w:rsid w:val="005C4FCF"/>
    <w:rsid w:val="005D1A34"/>
    <w:rsid w:val="005D38A5"/>
    <w:rsid w:val="005D6036"/>
    <w:rsid w:val="005D6DBB"/>
    <w:rsid w:val="005D7BF4"/>
    <w:rsid w:val="005E2B2B"/>
    <w:rsid w:val="005E3718"/>
    <w:rsid w:val="005E6BB6"/>
    <w:rsid w:val="005F0C21"/>
    <w:rsid w:val="005F2848"/>
    <w:rsid w:val="005F52EB"/>
    <w:rsid w:val="005F7D18"/>
    <w:rsid w:val="0060137E"/>
    <w:rsid w:val="00604693"/>
    <w:rsid w:val="00604901"/>
    <w:rsid w:val="006079BD"/>
    <w:rsid w:val="00612AF9"/>
    <w:rsid w:val="006142C7"/>
    <w:rsid w:val="00615AE2"/>
    <w:rsid w:val="00621526"/>
    <w:rsid w:val="0062270D"/>
    <w:rsid w:val="0062451D"/>
    <w:rsid w:val="006271E0"/>
    <w:rsid w:val="006273DC"/>
    <w:rsid w:val="00630781"/>
    <w:rsid w:val="006353D9"/>
    <w:rsid w:val="00635ACA"/>
    <w:rsid w:val="0063701F"/>
    <w:rsid w:val="00641F2F"/>
    <w:rsid w:val="00645BDE"/>
    <w:rsid w:val="00650A6A"/>
    <w:rsid w:val="00652AD3"/>
    <w:rsid w:val="00652D23"/>
    <w:rsid w:val="0065427C"/>
    <w:rsid w:val="00654D23"/>
    <w:rsid w:val="0065527B"/>
    <w:rsid w:val="006568BD"/>
    <w:rsid w:val="00657A93"/>
    <w:rsid w:val="00661106"/>
    <w:rsid w:val="00662044"/>
    <w:rsid w:val="00663640"/>
    <w:rsid w:val="0066385E"/>
    <w:rsid w:val="00663C50"/>
    <w:rsid w:val="006720F4"/>
    <w:rsid w:val="006741BF"/>
    <w:rsid w:val="00676156"/>
    <w:rsid w:val="00676A03"/>
    <w:rsid w:val="006801F9"/>
    <w:rsid w:val="00680CEF"/>
    <w:rsid w:val="00681C2D"/>
    <w:rsid w:val="0068669D"/>
    <w:rsid w:val="00687D61"/>
    <w:rsid w:val="00690250"/>
    <w:rsid w:val="00691547"/>
    <w:rsid w:val="00691A01"/>
    <w:rsid w:val="0069261B"/>
    <w:rsid w:val="00694914"/>
    <w:rsid w:val="006952DA"/>
    <w:rsid w:val="006A0C45"/>
    <w:rsid w:val="006A1ABF"/>
    <w:rsid w:val="006A1DC5"/>
    <w:rsid w:val="006A2E6F"/>
    <w:rsid w:val="006A5979"/>
    <w:rsid w:val="006B0CA9"/>
    <w:rsid w:val="006B0E21"/>
    <w:rsid w:val="006B38DC"/>
    <w:rsid w:val="006B3D10"/>
    <w:rsid w:val="006B508F"/>
    <w:rsid w:val="006C1295"/>
    <w:rsid w:val="006C2A73"/>
    <w:rsid w:val="006C4CD3"/>
    <w:rsid w:val="006C4CF5"/>
    <w:rsid w:val="006C4F25"/>
    <w:rsid w:val="006D3517"/>
    <w:rsid w:val="006D43E7"/>
    <w:rsid w:val="006D6F76"/>
    <w:rsid w:val="006D7625"/>
    <w:rsid w:val="006D7D3A"/>
    <w:rsid w:val="006E1D1C"/>
    <w:rsid w:val="006E372C"/>
    <w:rsid w:val="006E3804"/>
    <w:rsid w:val="006E3AE1"/>
    <w:rsid w:val="006E62E4"/>
    <w:rsid w:val="006F07F4"/>
    <w:rsid w:val="006F0BA1"/>
    <w:rsid w:val="006F1D60"/>
    <w:rsid w:val="006F35C2"/>
    <w:rsid w:val="006F3B24"/>
    <w:rsid w:val="006F5345"/>
    <w:rsid w:val="006F593F"/>
    <w:rsid w:val="006F59D3"/>
    <w:rsid w:val="006F5BB3"/>
    <w:rsid w:val="006F6459"/>
    <w:rsid w:val="0071423A"/>
    <w:rsid w:val="007241D0"/>
    <w:rsid w:val="00725C2E"/>
    <w:rsid w:val="00726127"/>
    <w:rsid w:val="00726399"/>
    <w:rsid w:val="00727A64"/>
    <w:rsid w:val="00731673"/>
    <w:rsid w:val="00733020"/>
    <w:rsid w:val="0074333E"/>
    <w:rsid w:val="007433BD"/>
    <w:rsid w:val="00746370"/>
    <w:rsid w:val="007469E8"/>
    <w:rsid w:val="00746CB2"/>
    <w:rsid w:val="0074725D"/>
    <w:rsid w:val="00747939"/>
    <w:rsid w:val="00750848"/>
    <w:rsid w:val="00750DDE"/>
    <w:rsid w:val="00751FAB"/>
    <w:rsid w:val="00754196"/>
    <w:rsid w:val="007568CD"/>
    <w:rsid w:val="00760C0C"/>
    <w:rsid w:val="00761C6A"/>
    <w:rsid w:val="00765049"/>
    <w:rsid w:val="007673F5"/>
    <w:rsid w:val="00771760"/>
    <w:rsid w:val="00772A94"/>
    <w:rsid w:val="00772B66"/>
    <w:rsid w:val="00774F3C"/>
    <w:rsid w:val="00775F7C"/>
    <w:rsid w:val="00776CB9"/>
    <w:rsid w:val="00780984"/>
    <w:rsid w:val="00782457"/>
    <w:rsid w:val="00783022"/>
    <w:rsid w:val="007865E8"/>
    <w:rsid w:val="007868D6"/>
    <w:rsid w:val="0079244C"/>
    <w:rsid w:val="00792F2E"/>
    <w:rsid w:val="0079303E"/>
    <w:rsid w:val="007967C0"/>
    <w:rsid w:val="00796971"/>
    <w:rsid w:val="007A047C"/>
    <w:rsid w:val="007A267A"/>
    <w:rsid w:val="007A515A"/>
    <w:rsid w:val="007A6523"/>
    <w:rsid w:val="007B0DEB"/>
    <w:rsid w:val="007B1DCC"/>
    <w:rsid w:val="007B50A6"/>
    <w:rsid w:val="007B6614"/>
    <w:rsid w:val="007C5511"/>
    <w:rsid w:val="007C6D1F"/>
    <w:rsid w:val="007C799F"/>
    <w:rsid w:val="007D6564"/>
    <w:rsid w:val="007E51C4"/>
    <w:rsid w:val="007E7FA8"/>
    <w:rsid w:val="007F165F"/>
    <w:rsid w:val="007F3952"/>
    <w:rsid w:val="007F3C6B"/>
    <w:rsid w:val="007F4107"/>
    <w:rsid w:val="007F4748"/>
    <w:rsid w:val="007F5858"/>
    <w:rsid w:val="00801138"/>
    <w:rsid w:val="00802CC6"/>
    <w:rsid w:val="0080351B"/>
    <w:rsid w:val="00805710"/>
    <w:rsid w:val="00805CB4"/>
    <w:rsid w:val="00805F4C"/>
    <w:rsid w:val="00806AB8"/>
    <w:rsid w:val="00807229"/>
    <w:rsid w:val="008100F3"/>
    <w:rsid w:val="00812DB5"/>
    <w:rsid w:val="00813614"/>
    <w:rsid w:val="008178EA"/>
    <w:rsid w:val="008179A1"/>
    <w:rsid w:val="0082071B"/>
    <w:rsid w:val="0082437E"/>
    <w:rsid w:val="0082543D"/>
    <w:rsid w:val="00825667"/>
    <w:rsid w:val="00827388"/>
    <w:rsid w:val="00831348"/>
    <w:rsid w:val="00832CB1"/>
    <w:rsid w:val="00834269"/>
    <w:rsid w:val="00836995"/>
    <w:rsid w:val="00841619"/>
    <w:rsid w:val="00842BC4"/>
    <w:rsid w:val="00854FBE"/>
    <w:rsid w:val="00855865"/>
    <w:rsid w:val="00855E99"/>
    <w:rsid w:val="008576C7"/>
    <w:rsid w:val="00857B80"/>
    <w:rsid w:val="008641D3"/>
    <w:rsid w:val="00864C82"/>
    <w:rsid w:val="00865818"/>
    <w:rsid w:val="00865EC1"/>
    <w:rsid w:val="0087120B"/>
    <w:rsid w:val="00873C8A"/>
    <w:rsid w:val="00874268"/>
    <w:rsid w:val="008758D0"/>
    <w:rsid w:val="00875A0F"/>
    <w:rsid w:val="00881070"/>
    <w:rsid w:val="00884E8F"/>
    <w:rsid w:val="0088564B"/>
    <w:rsid w:val="00887553"/>
    <w:rsid w:val="00887B2C"/>
    <w:rsid w:val="00887EC0"/>
    <w:rsid w:val="008A0A32"/>
    <w:rsid w:val="008A1A1F"/>
    <w:rsid w:val="008A2C24"/>
    <w:rsid w:val="008A3219"/>
    <w:rsid w:val="008A3492"/>
    <w:rsid w:val="008A4FC7"/>
    <w:rsid w:val="008B22E5"/>
    <w:rsid w:val="008B34C0"/>
    <w:rsid w:val="008B3906"/>
    <w:rsid w:val="008B3A13"/>
    <w:rsid w:val="008B4A4F"/>
    <w:rsid w:val="008B5D72"/>
    <w:rsid w:val="008C1AE6"/>
    <w:rsid w:val="008C229A"/>
    <w:rsid w:val="008C3ACC"/>
    <w:rsid w:val="008C4682"/>
    <w:rsid w:val="008C494A"/>
    <w:rsid w:val="008C4BD8"/>
    <w:rsid w:val="008C4D6A"/>
    <w:rsid w:val="008C53B2"/>
    <w:rsid w:val="008C666B"/>
    <w:rsid w:val="008C775A"/>
    <w:rsid w:val="008D1A82"/>
    <w:rsid w:val="008D2049"/>
    <w:rsid w:val="008D4CF3"/>
    <w:rsid w:val="008D552F"/>
    <w:rsid w:val="008E003E"/>
    <w:rsid w:val="008E0269"/>
    <w:rsid w:val="008F13BC"/>
    <w:rsid w:val="008F336A"/>
    <w:rsid w:val="008F5A51"/>
    <w:rsid w:val="008F65E1"/>
    <w:rsid w:val="0090047C"/>
    <w:rsid w:val="00905AA8"/>
    <w:rsid w:val="009063D1"/>
    <w:rsid w:val="009072E5"/>
    <w:rsid w:val="00910365"/>
    <w:rsid w:val="00912001"/>
    <w:rsid w:val="009154AC"/>
    <w:rsid w:val="009175C2"/>
    <w:rsid w:val="00922658"/>
    <w:rsid w:val="00925371"/>
    <w:rsid w:val="009257D9"/>
    <w:rsid w:val="00930B8B"/>
    <w:rsid w:val="00931AE2"/>
    <w:rsid w:val="00933128"/>
    <w:rsid w:val="00933630"/>
    <w:rsid w:val="00934A87"/>
    <w:rsid w:val="009371F5"/>
    <w:rsid w:val="00937EB1"/>
    <w:rsid w:val="00944B28"/>
    <w:rsid w:val="0094522F"/>
    <w:rsid w:val="009479A0"/>
    <w:rsid w:val="00947D74"/>
    <w:rsid w:val="00952C32"/>
    <w:rsid w:val="00957110"/>
    <w:rsid w:val="0095759E"/>
    <w:rsid w:val="00960298"/>
    <w:rsid w:val="00970BC8"/>
    <w:rsid w:val="009714A7"/>
    <w:rsid w:val="009717FB"/>
    <w:rsid w:val="00972470"/>
    <w:rsid w:val="00972874"/>
    <w:rsid w:val="00973E7A"/>
    <w:rsid w:val="009765C4"/>
    <w:rsid w:val="0098305F"/>
    <w:rsid w:val="009838C9"/>
    <w:rsid w:val="0099390B"/>
    <w:rsid w:val="0099452E"/>
    <w:rsid w:val="009972E6"/>
    <w:rsid w:val="009974B2"/>
    <w:rsid w:val="009A2967"/>
    <w:rsid w:val="009A3EF9"/>
    <w:rsid w:val="009A700B"/>
    <w:rsid w:val="009A742B"/>
    <w:rsid w:val="009B0809"/>
    <w:rsid w:val="009B0C40"/>
    <w:rsid w:val="009B13B3"/>
    <w:rsid w:val="009B3957"/>
    <w:rsid w:val="009B3AC5"/>
    <w:rsid w:val="009B3EBC"/>
    <w:rsid w:val="009B41A6"/>
    <w:rsid w:val="009B43BE"/>
    <w:rsid w:val="009B48AB"/>
    <w:rsid w:val="009B63A8"/>
    <w:rsid w:val="009C2547"/>
    <w:rsid w:val="009C28EB"/>
    <w:rsid w:val="009C351A"/>
    <w:rsid w:val="009C5E58"/>
    <w:rsid w:val="009D293A"/>
    <w:rsid w:val="009D4F8C"/>
    <w:rsid w:val="009D68C0"/>
    <w:rsid w:val="009D77A0"/>
    <w:rsid w:val="009E0864"/>
    <w:rsid w:val="009E096A"/>
    <w:rsid w:val="009E52F3"/>
    <w:rsid w:val="009E7856"/>
    <w:rsid w:val="009F1018"/>
    <w:rsid w:val="009F16F8"/>
    <w:rsid w:val="009F175F"/>
    <w:rsid w:val="009F18D0"/>
    <w:rsid w:val="00A00005"/>
    <w:rsid w:val="00A003EC"/>
    <w:rsid w:val="00A01874"/>
    <w:rsid w:val="00A01D4E"/>
    <w:rsid w:val="00A06245"/>
    <w:rsid w:val="00A07E1A"/>
    <w:rsid w:val="00A12E5D"/>
    <w:rsid w:val="00A13E62"/>
    <w:rsid w:val="00A16DED"/>
    <w:rsid w:val="00A2314E"/>
    <w:rsid w:val="00A24715"/>
    <w:rsid w:val="00A36001"/>
    <w:rsid w:val="00A36584"/>
    <w:rsid w:val="00A36BA7"/>
    <w:rsid w:val="00A379C9"/>
    <w:rsid w:val="00A40529"/>
    <w:rsid w:val="00A41BE0"/>
    <w:rsid w:val="00A422B0"/>
    <w:rsid w:val="00A515DA"/>
    <w:rsid w:val="00A55B0A"/>
    <w:rsid w:val="00A56C15"/>
    <w:rsid w:val="00A57398"/>
    <w:rsid w:val="00A61671"/>
    <w:rsid w:val="00A62B63"/>
    <w:rsid w:val="00A65FAE"/>
    <w:rsid w:val="00A66CEB"/>
    <w:rsid w:val="00A714C7"/>
    <w:rsid w:val="00A73C9E"/>
    <w:rsid w:val="00A73F8D"/>
    <w:rsid w:val="00A74506"/>
    <w:rsid w:val="00A75AB5"/>
    <w:rsid w:val="00A770DC"/>
    <w:rsid w:val="00A776A0"/>
    <w:rsid w:val="00A800E3"/>
    <w:rsid w:val="00A81937"/>
    <w:rsid w:val="00A82B7E"/>
    <w:rsid w:val="00A84A5C"/>
    <w:rsid w:val="00A87AD6"/>
    <w:rsid w:val="00A90B24"/>
    <w:rsid w:val="00A92912"/>
    <w:rsid w:val="00A94D40"/>
    <w:rsid w:val="00AA1F22"/>
    <w:rsid w:val="00AA3E21"/>
    <w:rsid w:val="00AA634E"/>
    <w:rsid w:val="00AA7080"/>
    <w:rsid w:val="00AA740E"/>
    <w:rsid w:val="00AB1A10"/>
    <w:rsid w:val="00AB5DB5"/>
    <w:rsid w:val="00AB67FF"/>
    <w:rsid w:val="00AB75FF"/>
    <w:rsid w:val="00AC0957"/>
    <w:rsid w:val="00AC152E"/>
    <w:rsid w:val="00AC3E9E"/>
    <w:rsid w:val="00AD0D18"/>
    <w:rsid w:val="00AE1AA4"/>
    <w:rsid w:val="00AE1BB5"/>
    <w:rsid w:val="00AE1E02"/>
    <w:rsid w:val="00AE44B0"/>
    <w:rsid w:val="00AF3F3A"/>
    <w:rsid w:val="00AF5992"/>
    <w:rsid w:val="00B020EC"/>
    <w:rsid w:val="00B07F05"/>
    <w:rsid w:val="00B13388"/>
    <w:rsid w:val="00B14D39"/>
    <w:rsid w:val="00B2054C"/>
    <w:rsid w:val="00B2791A"/>
    <w:rsid w:val="00B349EF"/>
    <w:rsid w:val="00B36F04"/>
    <w:rsid w:val="00B41640"/>
    <w:rsid w:val="00B427EB"/>
    <w:rsid w:val="00B437A5"/>
    <w:rsid w:val="00B443F7"/>
    <w:rsid w:val="00B45182"/>
    <w:rsid w:val="00B46B25"/>
    <w:rsid w:val="00B471B5"/>
    <w:rsid w:val="00B50BD0"/>
    <w:rsid w:val="00B532A0"/>
    <w:rsid w:val="00B543A8"/>
    <w:rsid w:val="00B55891"/>
    <w:rsid w:val="00B572FA"/>
    <w:rsid w:val="00B60039"/>
    <w:rsid w:val="00B62B02"/>
    <w:rsid w:val="00B62B31"/>
    <w:rsid w:val="00B6488E"/>
    <w:rsid w:val="00B66489"/>
    <w:rsid w:val="00B74C34"/>
    <w:rsid w:val="00B75029"/>
    <w:rsid w:val="00B776DF"/>
    <w:rsid w:val="00B80160"/>
    <w:rsid w:val="00B81EB8"/>
    <w:rsid w:val="00B82C06"/>
    <w:rsid w:val="00B83276"/>
    <w:rsid w:val="00B83645"/>
    <w:rsid w:val="00B90B4A"/>
    <w:rsid w:val="00B93252"/>
    <w:rsid w:val="00B935D1"/>
    <w:rsid w:val="00B94721"/>
    <w:rsid w:val="00B948C4"/>
    <w:rsid w:val="00B964FF"/>
    <w:rsid w:val="00BA30B9"/>
    <w:rsid w:val="00BA3CD9"/>
    <w:rsid w:val="00BA6704"/>
    <w:rsid w:val="00BA7F20"/>
    <w:rsid w:val="00BB302C"/>
    <w:rsid w:val="00BB6C0D"/>
    <w:rsid w:val="00BC0929"/>
    <w:rsid w:val="00BD5C97"/>
    <w:rsid w:val="00BD7374"/>
    <w:rsid w:val="00BE29D4"/>
    <w:rsid w:val="00BE58E8"/>
    <w:rsid w:val="00BE79D0"/>
    <w:rsid w:val="00BF2B8F"/>
    <w:rsid w:val="00BF7996"/>
    <w:rsid w:val="00C079B6"/>
    <w:rsid w:val="00C1135E"/>
    <w:rsid w:val="00C12317"/>
    <w:rsid w:val="00C12702"/>
    <w:rsid w:val="00C12DF4"/>
    <w:rsid w:val="00C13249"/>
    <w:rsid w:val="00C13995"/>
    <w:rsid w:val="00C152E0"/>
    <w:rsid w:val="00C15709"/>
    <w:rsid w:val="00C163A6"/>
    <w:rsid w:val="00C1701E"/>
    <w:rsid w:val="00C2145B"/>
    <w:rsid w:val="00C22FA4"/>
    <w:rsid w:val="00C23F2A"/>
    <w:rsid w:val="00C24214"/>
    <w:rsid w:val="00C2726C"/>
    <w:rsid w:val="00C27D79"/>
    <w:rsid w:val="00C301BF"/>
    <w:rsid w:val="00C34BE2"/>
    <w:rsid w:val="00C4010D"/>
    <w:rsid w:val="00C43770"/>
    <w:rsid w:val="00C45CB3"/>
    <w:rsid w:val="00C47C2A"/>
    <w:rsid w:val="00C47DC5"/>
    <w:rsid w:val="00C50B27"/>
    <w:rsid w:val="00C510F6"/>
    <w:rsid w:val="00C519ED"/>
    <w:rsid w:val="00C51DB5"/>
    <w:rsid w:val="00C61C87"/>
    <w:rsid w:val="00C61D19"/>
    <w:rsid w:val="00C636CB"/>
    <w:rsid w:val="00C664BE"/>
    <w:rsid w:val="00C67A12"/>
    <w:rsid w:val="00C702CE"/>
    <w:rsid w:val="00C70381"/>
    <w:rsid w:val="00C75778"/>
    <w:rsid w:val="00C75CB8"/>
    <w:rsid w:val="00C76475"/>
    <w:rsid w:val="00C817A9"/>
    <w:rsid w:val="00C81E7C"/>
    <w:rsid w:val="00C8319A"/>
    <w:rsid w:val="00C83FE2"/>
    <w:rsid w:val="00C85D55"/>
    <w:rsid w:val="00C87CCE"/>
    <w:rsid w:val="00C92E9A"/>
    <w:rsid w:val="00C93D77"/>
    <w:rsid w:val="00C9479E"/>
    <w:rsid w:val="00C95B60"/>
    <w:rsid w:val="00CA3968"/>
    <w:rsid w:val="00CA52D4"/>
    <w:rsid w:val="00CB048D"/>
    <w:rsid w:val="00CB0D54"/>
    <w:rsid w:val="00CB29F4"/>
    <w:rsid w:val="00CB31FE"/>
    <w:rsid w:val="00CB5CCE"/>
    <w:rsid w:val="00CB73C2"/>
    <w:rsid w:val="00CC02CE"/>
    <w:rsid w:val="00CC66B6"/>
    <w:rsid w:val="00CC711C"/>
    <w:rsid w:val="00CC719B"/>
    <w:rsid w:val="00CC78D9"/>
    <w:rsid w:val="00CD00CF"/>
    <w:rsid w:val="00CD308B"/>
    <w:rsid w:val="00CD5730"/>
    <w:rsid w:val="00CD6EC4"/>
    <w:rsid w:val="00CD723A"/>
    <w:rsid w:val="00CD791F"/>
    <w:rsid w:val="00CE0B79"/>
    <w:rsid w:val="00CE1B89"/>
    <w:rsid w:val="00CE2662"/>
    <w:rsid w:val="00CE2993"/>
    <w:rsid w:val="00CE2B1D"/>
    <w:rsid w:val="00CE617A"/>
    <w:rsid w:val="00CE6FC7"/>
    <w:rsid w:val="00CF08AD"/>
    <w:rsid w:val="00CF0A95"/>
    <w:rsid w:val="00CF453C"/>
    <w:rsid w:val="00CF4859"/>
    <w:rsid w:val="00CF6C50"/>
    <w:rsid w:val="00D000D5"/>
    <w:rsid w:val="00D013A7"/>
    <w:rsid w:val="00D0361F"/>
    <w:rsid w:val="00D043C1"/>
    <w:rsid w:val="00D057C5"/>
    <w:rsid w:val="00D058E6"/>
    <w:rsid w:val="00D05D89"/>
    <w:rsid w:val="00D07D8D"/>
    <w:rsid w:val="00D108B2"/>
    <w:rsid w:val="00D11148"/>
    <w:rsid w:val="00D1152D"/>
    <w:rsid w:val="00D12AB1"/>
    <w:rsid w:val="00D12DE0"/>
    <w:rsid w:val="00D1302E"/>
    <w:rsid w:val="00D1635E"/>
    <w:rsid w:val="00D240B1"/>
    <w:rsid w:val="00D322F5"/>
    <w:rsid w:val="00D366A0"/>
    <w:rsid w:val="00D37243"/>
    <w:rsid w:val="00D37B4A"/>
    <w:rsid w:val="00D416CB"/>
    <w:rsid w:val="00D459C1"/>
    <w:rsid w:val="00D4693F"/>
    <w:rsid w:val="00D46FC3"/>
    <w:rsid w:val="00D47419"/>
    <w:rsid w:val="00D50F25"/>
    <w:rsid w:val="00D647DD"/>
    <w:rsid w:val="00D7263E"/>
    <w:rsid w:val="00D72F5A"/>
    <w:rsid w:val="00D73CE3"/>
    <w:rsid w:val="00D7519A"/>
    <w:rsid w:val="00D758D6"/>
    <w:rsid w:val="00D75FA4"/>
    <w:rsid w:val="00D76A61"/>
    <w:rsid w:val="00D80E9F"/>
    <w:rsid w:val="00D810A8"/>
    <w:rsid w:val="00D84058"/>
    <w:rsid w:val="00D855E3"/>
    <w:rsid w:val="00D857B6"/>
    <w:rsid w:val="00D85E47"/>
    <w:rsid w:val="00D91085"/>
    <w:rsid w:val="00D9186E"/>
    <w:rsid w:val="00D938E4"/>
    <w:rsid w:val="00D9407F"/>
    <w:rsid w:val="00D944A5"/>
    <w:rsid w:val="00D94F1D"/>
    <w:rsid w:val="00D95C2F"/>
    <w:rsid w:val="00D96AF9"/>
    <w:rsid w:val="00D97366"/>
    <w:rsid w:val="00D97CD7"/>
    <w:rsid w:val="00DA17CA"/>
    <w:rsid w:val="00DA67B6"/>
    <w:rsid w:val="00DA69D4"/>
    <w:rsid w:val="00DB2378"/>
    <w:rsid w:val="00DB453D"/>
    <w:rsid w:val="00DB7BA7"/>
    <w:rsid w:val="00DC0E53"/>
    <w:rsid w:val="00DC28A1"/>
    <w:rsid w:val="00DC6084"/>
    <w:rsid w:val="00DC7B15"/>
    <w:rsid w:val="00DD0440"/>
    <w:rsid w:val="00DD0783"/>
    <w:rsid w:val="00DD186E"/>
    <w:rsid w:val="00DD2FE3"/>
    <w:rsid w:val="00DE0E6B"/>
    <w:rsid w:val="00DE30B9"/>
    <w:rsid w:val="00DE31F0"/>
    <w:rsid w:val="00DE7ADE"/>
    <w:rsid w:val="00DF0295"/>
    <w:rsid w:val="00DF42C4"/>
    <w:rsid w:val="00DF710E"/>
    <w:rsid w:val="00E01806"/>
    <w:rsid w:val="00E0180D"/>
    <w:rsid w:val="00E02183"/>
    <w:rsid w:val="00E0273F"/>
    <w:rsid w:val="00E02EF2"/>
    <w:rsid w:val="00E12061"/>
    <w:rsid w:val="00E13F86"/>
    <w:rsid w:val="00E15AAB"/>
    <w:rsid w:val="00E15FD1"/>
    <w:rsid w:val="00E23275"/>
    <w:rsid w:val="00E239B2"/>
    <w:rsid w:val="00E249EE"/>
    <w:rsid w:val="00E25648"/>
    <w:rsid w:val="00E27690"/>
    <w:rsid w:val="00E27C30"/>
    <w:rsid w:val="00E27F80"/>
    <w:rsid w:val="00E319FA"/>
    <w:rsid w:val="00E341F2"/>
    <w:rsid w:val="00E3531F"/>
    <w:rsid w:val="00E40CE5"/>
    <w:rsid w:val="00E4108F"/>
    <w:rsid w:val="00E43231"/>
    <w:rsid w:val="00E435A0"/>
    <w:rsid w:val="00E44096"/>
    <w:rsid w:val="00E45337"/>
    <w:rsid w:val="00E45C08"/>
    <w:rsid w:val="00E47D8E"/>
    <w:rsid w:val="00E50CCE"/>
    <w:rsid w:val="00E5468D"/>
    <w:rsid w:val="00E55552"/>
    <w:rsid w:val="00E556D9"/>
    <w:rsid w:val="00E6664E"/>
    <w:rsid w:val="00E666C9"/>
    <w:rsid w:val="00E7670B"/>
    <w:rsid w:val="00E80E05"/>
    <w:rsid w:val="00E814BF"/>
    <w:rsid w:val="00E822BB"/>
    <w:rsid w:val="00E827E9"/>
    <w:rsid w:val="00E83A7C"/>
    <w:rsid w:val="00E86EC9"/>
    <w:rsid w:val="00E9157D"/>
    <w:rsid w:val="00E91E4C"/>
    <w:rsid w:val="00E93812"/>
    <w:rsid w:val="00E9443C"/>
    <w:rsid w:val="00E94706"/>
    <w:rsid w:val="00E95A86"/>
    <w:rsid w:val="00EA00CD"/>
    <w:rsid w:val="00EA3328"/>
    <w:rsid w:val="00EA340F"/>
    <w:rsid w:val="00EA3869"/>
    <w:rsid w:val="00EA686E"/>
    <w:rsid w:val="00EB55ED"/>
    <w:rsid w:val="00EB6202"/>
    <w:rsid w:val="00EC1517"/>
    <w:rsid w:val="00EC188B"/>
    <w:rsid w:val="00EC1E8F"/>
    <w:rsid w:val="00EC37AE"/>
    <w:rsid w:val="00EC4977"/>
    <w:rsid w:val="00EC5884"/>
    <w:rsid w:val="00EC636F"/>
    <w:rsid w:val="00ED27B0"/>
    <w:rsid w:val="00ED2B96"/>
    <w:rsid w:val="00ED52AE"/>
    <w:rsid w:val="00ED54F6"/>
    <w:rsid w:val="00ED7AE1"/>
    <w:rsid w:val="00EE05A6"/>
    <w:rsid w:val="00EE16F6"/>
    <w:rsid w:val="00EE1D61"/>
    <w:rsid w:val="00EE1E26"/>
    <w:rsid w:val="00EE3CCF"/>
    <w:rsid w:val="00EE5549"/>
    <w:rsid w:val="00EE5AFF"/>
    <w:rsid w:val="00EE7743"/>
    <w:rsid w:val="00EF0749"/>
    <w:rsid w:val="00EF1892"/>
    <w:rsid w:val="00EF1E6F"/>
    <w:rsid w:val="00EF7620"/>
    <w:rsid w:val="00F03700"/>
    <w:rsid w:val="00F1141A"/>
    <w:rsid w:val="00F11FC4"/>
    <w:rsid w:val="00F145E8"/>
    <w:rsid w:val="00F16030"/>
    <w:rsid w:val="00F16739"/>
    <w:rsid w:val="00F2227D"/>
    <w:rsid w:val="00F248D2"/>
    <w:rsid w:val="00F26FF4"/>
    <w:rsid w:val="00F26FF5"/>
    <w:rsid w:val="00F32011"/>
    <w:rsid w:val="00F326E7"/>
    <w:rsid w:val="00F328F5"/>
    <w:rsid w:val="00F35AF9"/>
    <w:rsid w:val="00F364FC"/>
    <w:rsid w:val="00F36CAF"/>
    <w:rsid w:val="00F3703B"/>
    <w:rsid w:val="00F37F42"/>
    <w:rsid w:val="00F439A2"/>
    <w:rsid w:val="00F52082"/>
    <w:rsid w:val="00F540B2"/>
    <w:rsid w:val="00F56D43"/>
    <w:rsid w:val="00F57396"/>
    <w:rsid w:val="00F62C1F"/>
    <w:rsid w:val="00F665AD"/>
    <w:rsid w:val="00F66ED3"/>
    <w:rsid w:val="00F7010C"/>
    <w:rsid w:val="00F73844"/>
    <w:rsid w:val="00F740D3"/>
    <w:rsid w:val="00F74A76"/>
    <w:rsid w:val="00F74ECD"/>
    <w:rsid w:val="00F80FEB"/>
    <w:rsid w:val="00F81B53"/>
    <w:rsid w:val="00F837AF"/>
    <w:rsid w:val="00F84CB0"/>
    <w:rsid w:val="00F85485"/>
    <w:rsid w:val="00F907E6"/>
    <w:rsid w:val="00F92209"/>
    <w:rsid w:val="00F963CF"/>
    <w:rsid w:val="00FA0256"/>
    <w:rsid w:val="00FB0454"/>
    <w:rsid w:val="00FB144F"/>
    <w:rsid w:val="00FB3D45"/>
    <w:rsid w:val="00FB531A"/>
    <w:rsid w:val="00FB7BC0"/>
    <w:rsid w:val="00FC020F"/>
    <w:rsid w:val="00FC1B9F"/>
    <w:rsid w:val="00FD132D"/>
    <w:rsid w:val="00FD1D26"/>
    <w:rsid w:val="00FD3225"/>
    <w:rsid w:val="00FE04CF"/>
    <w:rsid w:val="00FE3D40"/>
    <w:rsid w:val="00FE5160"/>
    <w:rsid w:val="00FE6AB9"/>
    <w:rsid w:val="00FF0514"/>
    <w:rsid w:val="00FF2BA2"/>
    <w:rsid w:val="00FF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5097"/>
  <w15:docId w15:val="{7AFE5288-1E14-4B0F-A54B-B21F8D9C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80E9F"/>
    <w:rPr>
      <w:szCs w:val="20"/>
      <w:lang w:val="en-GB"/>
    </w:rPr>
  </w:style>
  <w:style w:type="character" w:customStyle="1" w:styleId="TijelotekstaChar">
    <w:name w:val="Tijelo teksta Char"/>
    <w:basedOn w:val="Zadanifontodlomka"/>
    <w:link w:val="Tijeloteksta"/>
    <w:rsid w:val="00D80E9F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5CB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5CB3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0919AC"/>
    <w:pPr>
      <w:ind w:left="720"/>
      <w:contextualSpacing/>
    </w:pPr>
  </w:style>
  <w:style w:type="paragraph" w:styleId="Bezproreda">
    <w:name w:val="No Spacing"/>
    <w:autoRedefine/>
    <w:uiPriority w:val="1"/>
    <w:qFormat/>
    <w:rsid w:val="004A2296"/>
    <w:pPr>
      <w:spacing w:after="0" w:line="240" w:lineRule="auto"/>
      <w:ind w:left="-180" w:firstLine="888"/>
      <w:jc w:val="both"/>
    </w:pPr>
    <w:rPr>
      <w:rFonts w:ascii="Times New Roman" w:hAnsi="Times New Roman"/>
      <w:b/>
      <w:color w:val="000000" w:themeColor="text1"/>
    </w:rPr>
  </w:style>
  <w:style w:type="paragraph" w:styleId="Obinitekst">
    <w:name w:val="Plain Text"/>
    <w:basedOn w:val="Normal"/>
    <w:link w:val="ObinitekstChar"/>
    <w:uiPriority w:val="99"/>
    <w:rsid w:val="00B020EC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uiPriority w:val="99"/>
    <w:rsid w:val="00B020E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Tijeloteksta-uvlaka2">
    <w:name w:val="Body Text Indent 2"/>
    <w:basedOn w:val="Normal"/>
    <w:link w:val="Tijeloteksta-uvlaka2Char"/>
    <w:rsid w:val="00B020EC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rsid w:val="00B020E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D73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E47D8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47D8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47D8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47D8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47D8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0F7EBB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0F7EB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0F7EBB"/>
    <w:pPr>
      <w:spacing w:before="100" w:beforeAutospacing="1" w:after="100" w:afterAutospacing="1"/>
    </w:pPr>
  </w:style>
  <w:style w:type="paragraph" w:styleId="Revizija">
    <w:name w:val="Revision"/>
    <w:hidden/>
    <w:uiPriority w:val="99"/>
    <w:semiHidden/>
    <w:rsid w:val="00937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40378-BF34-4535-80C1-56504FE5F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30</Pages>
  <Words>9911</Words>
  <Characters>56496</Characters>
  <Application>Microsoft Office Word</Application>
  <DocSecurity>0</DocSecurity>
  <Lines>470</Lines>
  <Paragraphs>132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Lišić</dc:creator>
  <cp:lastModifiedBy>Anela Bordi</cp:lastModifiedBy>
  <cp:revision>345</cp:revision>
  <cp:lastPrinted>2022-03-02T07:13:00Z</cp:lastPrinted>
  <dcterms:created xsi:type="dcterms:W3CDTF">2022-02-25T12:05:00Z</dcterms:created>
  <dcterms:modified xsi:type="dcterms:W3CDTF">2023-02-28T09:43:00Z</dcterms:modified>
</cp:coreProperties>
</file>