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9E2F50B" w14:textId="4A5F32F4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1118EA">
              <w:rPr>
                <w:sz w:val="20"/>
                <w:szCs w:val="20"/>
              </w:rPr>
              <w:t xml:space="preserve">Nacrt </w:t>
            </w:r>
            <w:r w:rsidR="001C27B1">
              <w:rPr>
                <w:sz w:val="20"/>
                <w:szCs w:val="20"/>
              </w:rPr>
              <w:t>Studije</w:t>
            </w:r>
            <w:r w:rsidR="00447E14">
              <w:rPr>
                <w:sz w:val="20"/>
                <w:szCs w:val="20"/>
              </w:rPr>
              <w:t xml:space="preserve"> zelene infrastrukture grada Osijeka za razdoblje od 2022. do 2032. godine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42EC0B31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447E14">
              <w:rPr>
                <w:sz w:val="20"/>
                <w:szCs w:val="20"/>
                <w:u w:val="single"/>
              </w:rPr>
              <w:t xml:space="preserve">19. </w:t>
            </w:r>
            <w:r w:rsidR="00447E14" w:rsidRPr="001D2619">
              <w:rPr>
                <w:sz w:val="20"/>
                <w:szCs w:val="20"/>
                <w:u w:val="single"/>
              </w:rPr>
              <w:t>siječnja</w:t>
            </w:r>
            <w:r w:rsidRPr="001D2619">
              <w:rPr>
                <w:sz w:val="20"/>
                <w:szCs w:val="20"/>
                <w:u w:val="single"/>
              </w:rPr>
              <w:t xml:space="preserve"> </w:t>
            </w:r>
            <w:r w:rsidR="009F7BC3" w:rsidRPr="001D2619">
              <w:rPr>
                <w:sz w:val="20"/>
                <w:szCs w:val="20"/>
                <w:u w:val="single"/>
              </w:rPr>
              <w:t>20</w:t>
            </w:r>
            <w:r w:rsidR="001D2619" w:rsidRPr="001D2619">
              <w:rPr>
                <w:sz w:val="20"/>
                <w:szCs w:val="20"/>
                <w:u w:val="single"/>
              </w:rPr>
              <w:t>23</w:t>
            </w:r>
            <w:r w:rsidR="009F7BC3" w:rsidRPr="001D2619">
              <w:rPr>
                <w:sz w:val="20"/>
                <w:szCs w:val="20"/>
                <w:u w:val="single"/>
              </w:rPr>
              <w:t xml:space="preserve">. </w:t>
            </w:r>
            <w:r w:rsidRPr="001D2619">
              <w:rPr>
                <w:sz w:val="20"/>
                <w:szCs w:val="20"/>
                <w:u w:val="single"/>
              </w:rPr>
              <w:t xml:space="preserve">do </w:t>
            </w:r>
            <w:r w:rsidR="001D2619">
              <w:rPr>
                <w:sz w:val="20"/>
                <w:szCs w:val="20"/>
                <w:u w:val="single"/>
              </w:rPr>
              <w:t>18</w:t>
            </w:r>
            <w:r w:rsidR="005A4BC5" w:rsidRPr="001D2619">
              <w:rPr>
                <w:sz w:val="20"/>
                <w:szCs w:val="20"/>
                <w:u w:val="single"/>
              </w:rPr>
              <w:t xml:space="preserve">. </w:t>
            </w:r>
            <w:r w:rsidR="001D2619">
              <w:rPr>
                <w:sz w:val="20"/>
                <w:szCs w:val="20"/>
                <w:u w:val="single"/>
              </w:rPr>
              <w:t>veljače</w:t>
            </w:r>
            <w:r w:rsidR="005A4BC5" w:rsidRPr="005A4BC5">
              <w:rPr>
                <w:sz w:val="20"/>
                <w:szCs w:val="20"/>
                <w:u w:val="single"/>
              </w:rPr>
              <w:t xml:space="preserve"> 20</w:t>
            </w:r>
            <w:r w:rsidR="001D2619">
              <w:rPr>
                <w:sz w:val="20"/>
                <w:szCs w:val="20"/>
                <w:u w:val="single"/>
              </w:rPr>
              <w:t>23</w:t>
            </w:r>
            <w:r w:rsidR="005A4BC5" w:rsidRPr="005A4BC5">
              <w:rPr>
                <w:sz w:val="20"/>
                <w:szCs w:val="20"/>
                <w:u w:val="single"/>
              </w:rPr>
              <w:t>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2" w14:textId="74763535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337"/>
        <w:gridCol w:w="1549"/>
        <w:gridCol w:w="3980"/>
        <w:gridCol w:w="2294"/>
      </w:tblGrid>
      <w:tr w:rsidR="0090576C" w:rsidRPr="003257CB" w14:paraId="69E2F51C" w14:textId="77777777" w:rsidTr="0021278E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337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549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3980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2294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44ED9" w:rsidRPr="003257CB" w14:paraId="7E514522" w14:textId="77777777" w:rsidTr="0021278E">
        <w:tc>
          <w:tcPr>
            <w:tcW w:w="1520" w:type="dxa"/>
          </w:tcPr>
          <w:p w14:paraId="204EDB7D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0C4717F7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1E6F1222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26176D0F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BBF8F98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2EF4AE6F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7BD4A7AC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28315909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7DB08A3D" w14:textId="77777777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01F2C4B8" w14:textId="77777777" w:rsidR="00344ED9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71127199" w14:textId="77777777" w:rsidR="00507EDF" w:rsidRDefault="00507EDF" w:rsidP="00344ED9">
            <w:pPr>
              <w:jc w:val="center"/>
              <w:rPr>
                <w:sz w:val="20"/>
                <w:szCs w:val="20"/>
              </w:rPr>
            </w:pPr>
          </w:p>
          <w:p w14:paraId="00732104" w14:textId="77777777" w:rsidR="00507EDF" w:rsidRDefault="00507EDF" w:rsidP="00344ED9">
            <w:pPr>
              <w:jc w:val="center"/>
              <w:rPr>
                <w:sz w:val="20"/>
                <w:szCs w:val="20"/>
              </w:rPr>
            </w:pPr>
          </w:p>
          <w:p w14:paraId="78B43281" w14:textId="1324BB01" w:rsidR="00507EDF" w:rsidRPr="003257CB" w:rsidRDefault="00507EDF" w:rsidP="0034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Politička platforma Možemo! Osijek</w:t>
            </w:r>
          </w:p>
        </w:tc>
        <w:tc>
          <w:tcPr>
            <w:tcW w:w="1549" w:type="dxa"/>
          </w:tcPr>
          <w:p w14:paraId="08E450C7" w14:textId="77777777" w:rsidR="00344ED9" w:rsidRDefault="00344ED9" w:rsidP="00344ED9">
            <w:pPr>
              <w:jc w:val="center"/>
              <w:rPr>
                <w:sz w:val="20"/>
                <w:szCs w:val="20"/>
              </w:rPr>
            </w:pPr>
          </w:p>
          <w:p w14:paraId="035CFBDD" w14:textId="77777777" w:rsidR="00C62009" w:rsidRDefault="00C62009" w:rsidP="00344ED9">
            <w:pPr>
              <w:jc w:val="center"/>
              <w:rPr>
                <w:sz w:val="20"/>
                <w:szCs w:val="20"/>
              </w:rPr>
            </w:pPr>
          </w:p>
          <w:p w14:paraId="561F4AC5" w14:textId="77777777" w:rsidR="00C62009" w:rsidRDefault="00C62009" w:rsidP="00344ED9">
            <w:pPr>
              <w:jc w:val="center"/>
              <w:rPr>
                <w:sz w:val="20"/>
                <w:szCs w:val="20"/>
              </w:rPr>
            </w:pPr>
          </w:p>
          <w:p w14:paraId="32F8F701" w14:textId="77777777" w:rsidR="00C62009" w:rsidRDefault="00C62009" w:rsidP="00344ED9">
            <w:pPr>
              <w:jc w:val="center"/>
              <w:rPr>
                <w:sz w:val="20"/>
                <w:szCs w:val="20"/>
              </w:rPr>
            </w:pPr>
          </w:p>
          <w:p w14:paraId="340271E1" w14:textId="6A520CAA" w:rsidR="00C62009" w:rsidRPr="003257CB" w:rsidRDefault="00967837" w:rsidP="0034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Općenito</w:t>
            </w:r>
          </w:p>
        </w:tc>
        <w:tc>
          <w:tcPr>
            <w:tcW w:w="3980" w:type="dxa"/>
          </w:tcPr>
          <w:p w14:paraId="4B74C9FF" w14:textId="77777777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Nacrt STUDIJE ZELENE</w:t>
            </w:r>
          </w:p>
          <w:p w14:paraId="20FEF82E" w14:textId="405ABD34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INFRASTRUKTURE GRADA OSIJEKA je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edukativan i informativan materijal i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pojašnjava koncepcijski pristup studiji a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kasnije i strategiji na općenitoj razini.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Studija je načinjena bez temeljnog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dokumenta - Krajobrazne osnove koji je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Grad imao obavezu izraditi (Izmjena i dopuna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GUP-a Grada Osijeka, Službeni Glasnik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Grada Osijeka br. 6A od 18. travnja 2018., čl.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65; Izvješće o stanju u prostoru Grada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Osijeka (2013.-2017.) (2) Mjere zaštite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krajobraza utvrdit će se izradom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Krajobrazne osnove kojom će se izvršiti</w:t>
            </w:r>
            <w:r w:rsidR="00967837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analiza krajobraza, istaknuti posebnosti</w:t>
            </w:r>
          </w:p>
          <w:p w14:paraId="27284458" w14:textId="184BE827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krajobraza te u skladu s tim planirati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izgradnju koja neće narušiti izgled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krajobraza, a osobito treba od izgradnje štititi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panoramski vrijedne točke. Do izrade Osnove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zabranjeni su zahvati i radnje koje bi mogle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narušiti krajobrazne vrijednosti osobito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vrijednog područja. Također, Službeni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glasnik Grada Osijeka br. 18 od 18. listopada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2018.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Osim toga ne vidi se da bi se Studija oslanjala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na Zeleni katastar (ali isti nije ni dovršen,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nije ažuriran niti je, koliko imamo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informacije, službeno usvojen dokument).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Studija ne spominje postojeće drvorede</w:t>
            </w:r>
            <w:r w:rsidR="00ED57D0">
              <w:rPr>
                <w:sz w:val="20"/>
                <w:szCs w:val="20"/>
              </w:rPr>
              <w:t xml:space="preserve"> </w:t>
            </w:r>
            <w:proofErr w:type="spellStart"/>
            <w:r w:rsidRPr="00C62009">
              <w:rPr>
                <w:sz w:val="20"/>
                <w:szCs w:val="20"/>
              </w:rPr>
              <w:t>javorolisnih</w:t>
            </w:r>
            <w:proofErr w:type="spellEnd"/>
            <w:r w:rsidRPr="00C62009">
              <w:rPr>
                <w:sz w:val="20"/>
                <w:szCs w:val="20"/>
              </w:rPr>
              <w:t xml:space="preserve"> platana iako u Izmjena i</w:t>
            </w:r>
          </w:p>
          <w:p w14:paraId="630B83D6" w14:textId="1B6BF40C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 xml:space="preserve">dopuna GUP-a Grada Osijeka </w:t>
            </w:r>
            <w:proofErr w:type="spellStart"/>
            <w:r w:rsidRPr="00C62009">
              <w:rPr>
                <w:sz w:val="20"/>
                <w:szCs w:val="20"/>
              </w:rPr>
              <w:t>Sl</w:t>
            </w:r>
            <w:proofErr w:type="spellEnd"/>
            <w:r w:rsidRPr="00C62009">
              <w:rPr>
                <w:sz w:val="20"/>
                <w:szCs w:val="20"/>
              </w:rPr>
              <w:t xml:space="preserve"> Glasnik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Grada Osijeka br. 6A od 18. travnja 2018. čl.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65. stoji: (4) Planom se predlaže, sukladno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posebnom propisu, preispitivanje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opravdanosti pokretanja postupka zaštite za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slijedeća područja: Spomenik parkovne</w:t>
            </w:r>
            <w:r w:rsidR="00ED57D0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arhitekture</w:t>
            </w:r>
          </w:p>
          <w:p w14:paraId="5FE34938" w14:textId="4E5F047E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 xml:space="preserve">a. Osijek – drvored </w:t>
            </w:r>
            <w:proofErr w:type="spellStart"/>
            <w:r w:rsidRPr="00C62009">
              <w:rPr>
                <w:sz w:val="20"/>
                <w:szCs w:val="20"/>
              </w:rPr>
              <w:t>javorolisnih</w:t>
            </w:r>
            <w:proofErr w:type="spellEnd"/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platana uz cestu Josipovac –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Osijek</w:t>
            </w:r>
          </w:p>
          <w:p w14:paraId="4AC7308B" w14:textId="5A6A970E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 xml:space="preserve">b. Osijek – drvored </w:t>
            </w:r>
            <w:proofErr w:type="spellStart"/>
            <w:r w:rsidRPr="00C62009">
              <w:rPr>
                <w:sz w:val="20"/>
                <w:szCs w:val="20"/>
              </w:rPr>
              <w:t>javorolisnih</w:t>
            </w:r>
            <w:proofErr w:type="spellEnd"/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platana uz cestu Čepin –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Osijek i u Ul. Svete Ane</w:t>
            </w:r>
          </w:p>
          <w:p w14:paraId="0A83007B" w14:textId="13C2AA1F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 xml:space="preserve">c. Osijek – drvored </w:t>
            </w:r>
            <w:proofErr w:type="spellStart"/>
            <w:r w:rsidRPr="00C62009">
              <w:rPr>
                <w:sz w:val="20"/>
                <w:szCs w:val="20"/>
              </w:rPr>
              <w:t>javorolisnih</w:t>
            </w:r>
            <w:proofErr w:type="spellEnd"/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platana uz Vukovarsku cestu</w:t>
            </w:r>
          </w:p>
          <w:p w14:paraId="7D1087FE" w14:textId="77777777" w:rsidR="003F76BE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lastRenderedPageBreak/>
              <w:t>Također, nije vidljivo da je Studija i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Strategija uzela u obzir stručno mišljenje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VIRIDO d.o.o. ZA KRAJOBRAZNU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 xml:space="preserve">ARHITEKTURU, Zagreb, Robert </w:t>
            </w:r>
            <w:proofErr w:type="spellStart"/>
            <w:r w:rsidRPr="00C62009">
              <w:rPr>
                <w:sz w:val="20"/>
                <w:szCs w:val="20"/>
              </w:rPr>
              <w:t>Duić</w:t>
            </w:r>
            <w:proofErr w:type="spellEnd"/>
            <w:r w:rsidRPr="00C62009">
              <w:rPr>
                <w:sz w:val="20"/>
                <w:szCs w:val="20"/>
              </w:rPr>
              <w:t xml:space="preserve">, </w:t>
            </w:r>
            <w:proofErr w:type="spellStart"/>
            <w:r w:rsidRPr="00C62009">
              <w:rPr>
                <w:sz w:val="20"/>
                <w:szCs w:val="20"/>
              </w:rPr>
              <w:t>ovl</w:t>
            </w:r>
            <w:proofErr w:type="spellEnd"/>
            <w:r w:rsidRPr="00C62009">
              <w:rPr>
                <w:sz w:val="20"/>
                <w:szCs w:val="20"/>
              </w:rPr>
              <w:t>.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 xml:space="preserve">kraj. </w:t>
            </w:r>
            <w:proofErr w:type="spellStart"/>
            <w:r w:rsidRPr="00C62009">
              <w:rPr>
                <w:sz w:val="20"/>
                <w:szCs w:val="20"/>
              </w:rPr>
              <w:t>arh</w:t>
            </w:r>
            <w:proofErr w:type="spellEnd"/>
            <w:r w:rsidRPr="00C62009">
              <w:rPr>
                <w:sz w:val="20"/>
                <w:szCs w:val="20"/>
              </w:rPr>
              <w:t>, kolovoz 2021. da je opravdano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pokrenuti postupak zaštite drvoreda</w:t>
            </w:r>
            <w:r w:rsidR="003F76BE">
              <w:rPr>
                <w:sz w:val="20"/>
                <w:szCs w:val="20"/>
              </w:rPr>
              <w:t xml:space="preserve"> </w:t>
            </w:r>
            <w:proofErr w:type="spellStart"/>
            <w:r w:rsidRPr="00C62009">
              <w:rPr>
                <w:sz w:val="20"/>
                <w:szCs w:val="20"/>
              </w:rPr>
              <w:t>javorolisnih</w:t>
            </w:r>
            <w:proofErr w:type="spellEnd"/>
            <w:r w:rsidRPr="00C62009">
              <w:rPr>
                <w:sz w:val="20"/>
                <w:szCs w:val="20"/>
              </w:rPr>
              <w:t xml:space="preserve"> platana Osijek - Čepin kao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spomenika parkovne arhitekture u cijeloj dužini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od 8,7 km. Iako je dio drvoreda,14 stabala (a ne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kako stoji u Strategiji) uklonjen zbog realizacije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podvožnjaka u ul. L. Mandića– preostali dio</w:t>
            </w:r>
            <w:r w:rsidR="003F76BE">
              <w:rPr>
                <w:sz w:val="20"/>
                <w:szCs w:val="20"/>
              </w:rPr>
              <w:t xml:space="preserve"> </w:t>
            </w:r>
            <w:r w:rsidRPr="00C62009">
              <w:rPr>
                <w:sz w:val="20"/>
                <w:szCs w:val="20"/>
              </w:rPr>
              <w:t>treba zaštititi!</w:t>
            </w:r>
            <w:r w:rsidR="003F76BE">
              <w:rPr>
                <w:sz w:val="20"/>
                <w:szCs w:val="20"/>
              </w:rPr>
              <w:t xml:space="preserve"> </w:t>
            </w:r>
          </w:p>
          <w:p w14:paraId="565CB5D7" w14:textId="77777777" w:rsidR="00124296" w:rsidRDefault="00124296" w:rsidP="00967837">
            <w:pPr>
              <w:jc w:val="both"/>
              <w:rPr>
                <w:sz w:val="20"/>
                <w:szCs w:val="20"/>
              </w:rPr>
            </w:pPr>
          </w:p>
          <w:p w14:paraId="1C2E0970" w14:textId="46DAE3A9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Nije provedeno mapiranje vrućih otoka.</w:t>
            </w:r>
          </w:p>
          <w:p w14:paraId="259D1C9A" w14:textId="77777777" w:rsidR="00124296" w:rsidRDefault="00124296" w:rsidP="00967837">
            <w:pPr>
              <w:jc w:val="both"/>
              <w:rPr>
                <w:sz w:val="20"/>
                <w:szCs w:val="20"/>
              </w:rPr>
            </w:pPr>
          </w:p>
          <w:p w14:paraId="2D2CBE51" w14:textId="29A47805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Iz Studije nije vidljivo što su obuhvaćali</w:t>
            </w:r>
          </w:p>
          <w:p w14:paraId="288DFED9" w14:textId="77777777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terenski izvidi.</w:t>
            </w:r>
          </w:p>
          <w:p w14:paraId="43303B79" w14:textId="77777777" w:rsidR="00124296" w:rsidRDefault="00124296" w:rsidP="00967837">
            <w:pPr>
              <w:jc w:val="both"/>
              <w:rPr>
                <w:sz w:val="20"/>
                <w:szCs w:val="20"/>
              </w:rPr>
            </w:pPr>
          </w:p>
          <w:p w14:paraId="6A768101" w14:textId="1ACCF06D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U Studiji se navodi online anketa bez</w:t>
            </w:r>
          </w:p>
          <w:p w14:paraId="5F3FE9B7" w14:textId="77777777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informacija zašto 20 osoba, kako su odabrani</w:t>
            </w:r>
          </w:p>
          <w:p w14:paraId="31F5EFF7" w14:textId="77777777" w:rsidR="00C62009" w:rsidRPr="00C62009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i koja su bila anketna pitanja, odnosno koji su</w:t>
            </w:r>
          </w:p>
          <w:p w14:paraId="5CD797AF" w14:textId="4303B271" w:rsidR="00344ED9" w:rsidRPr="003257CB" w:rsidRDefault="00C62009" w:rsidP="00967837">
            <w:pPr>
              <w:jc w:val="both"/>
              <w:rPr>
                <w:sz w:val="20"/>
                <w:szCs w:val="20"/>
              </w:rPr>
            </w:pPr>
            <w:r w:rsidRPr="00C62009">
              <w:rPr>
                <w:sz w:val="20"/>
                <w:szCs w:val="20"/>
              </w:rPr>
              <w:t>odgovori. Neuobičajeno za studiju.</w:t>
            </w:r>
          </w:p>
        </w:tc>
        <w:tc>
          <w:tcPr>
            <w:tcW w:w="2294" w:type="dxa"/>
          </w:tcPr>
          <w:p w14:paraId="2BD3B496" w14:textId="1E2C04AC" w:rsidR="00837915" w:rsidRPr="007E54AB" w:rsidRDefault="00837915" w:rsidP="00E33973">
            <w:pPr>
              <w:jc w:val="both"/>
              <w:rPr>
                <w:b/>
                <w:bCs/>
                <w:sz w:val="20"/>
                <w:szCs w:val="20"/>
              </w:rPr>
            </w:pPr>
            <w:r w:rsidRPr="007E54AB">
              <w:rPr>
                <w:b/>
                <w:bCs/>
                <w:sz w:val="20"/>
                <w:szCs w:val="20"/>
              </w:rPr>
              <w:lastRenderedPageBreak/>
              <w:t>Primjedbe se djelomično prihvaćaju</w:t>
            </w:r>
          </w:p>
          <w:p w14:paraId="19BBEE7D" w14:textId="59B8E722" w:rsidR="00837915" w:rsidRDefault="00837915" w:rsidP="00E33973">
            <w:pPr>
              <w:jc w:val="both"/>
              <w:rPr>
                <w:sz w:val="20"/>
                <w:szCs w:val="20"/>
              </w:rPr>
            </w:pPr>
          </w:p>
          <w:p w14:paraId="32CBF15C" w14:textId="3EEE4EDB" w:rsidR="00837915" w:rsidRDefault="00837915" w:rsidP="00E33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Obrazloženje:</w:t>
            </w:r>
          </w:p>
          <w:p w14:paraId="1A7CA23C" w14:textId="3E0F8F5A" w:rsidR="00E33973" w:rsidRPr="00E33973" w:rsidRDefault="00E33973" w:rsidP="00E33973">
            <w:pPr>
              <w:jc w:val="both"/>
              <w:rPr>
                <w:sz w:val="20"/>
                <w:szCs w:val="20"/>
              </w:rPr>
            </w:pPr>
            <w:r w:rsidRPr="00E33973">
              <w:rPr>
                <w:sz w:val="20"/>
                <w:szCs w:val="20"/>
              </w:rPr>
              <w:t xml:space="preserve">Izrađivači se slažu s komentarom da nedostaje Krajobrazna osnova grada Osijeka. S obzirom da krajobrazna osnova nije bila izrađena u trenutku započinjanja postupka, Izrađivači su analizirali dostupne podatke na temelju kojih su napravili opći tipološki razvrstaj krajobraznih značajki. S obzirom na nedostatak osnove, Izrađivači će korigirati strateški dio dokumenta na način da će biti uvrštena obveza izrade krajobrazne osnove - Aktivnost AC.1. Izrada Krajobrazne osnove grada Osijeka. Znači, </w:t>
            </w:r>
            <w:r w:rsidRPr="00BB1BAF">
              <w:rPr>
                <w:b/>
                <w:bCs/>
                <w:sz w:val="20"/>
                <w:szCs w:val="20"/>
              </w:rPr>
              <w:t>prijedlog je osnovan i prihvaća se</w:t>
            </w:r>
            <w:r w:rsidRPr="00E33973">
              <w:rPr>
                <w:sz w:val="20"/>
                <w:szCs w:val="20"/>
              </w:rPr>
              <w:t xml:space="preserve">. </w:t>
            </w:r>
          </w:p>
          <w:p w14:paraId="3A6886C7" w14:textId="77777777" w:rsidR="00E33973" w:rsidRPr="00E33973" w:rsidRDefault="00E33973" w:rsidP="00E33973">
            <w:pPr>
              <w:jc w:val="both"/>
              <w:rPr>
                <w:sz w:val="20"/>
                <w:szCs w:val="20"/>
              </w:rPr>
            </w:pPr>
          </w:p>
          <w:p w14:paraId="570755DC" w14:textId="77777777" w:rsidR="00E33973" w:rsidRPr="00E33973" w:rsidRDefault="00E33973" w:rsidP="00E33973">
            <w:pPr>
              <w:jc w:val="both"/>
              <w:rPr>
                <w:sz w:val="20"/>
                <w:szCs w:val="20"/>
              </w:rPr>
            </w:pPr>
            <w:r w:rsidRPr="00E33973">
              <w:rPr>
                <w:sz w:val="20"/>
                <w:szCs w:val="20"/>
              </w:rPr>
              <w:t xml:space="preserve">Cjelina o </w:t>
            </w:r>
            <w:proofErr w:type="spellStart"/>
            <w:r w:rsidRPr="00E33973">
              <w:rPr>
                <w:sz w:val="20"/>
                <w:szCs w:val="20"/>
              </w:rPr>
              <w:t>javorolisnim</w:t>
            </w:r>
            <w:proofErr w:type="spellEnd"/>
            <w:r w:rsidRPr="00E33973">
              <w:rPr>
                <w:sz w:val="20"/>
                <w:szCs w:val="20"/>
              </w:rPr>
              <w:t xml:space="preserve"> platana detaljno je analizirana u Studiji, Poglavlje 6.4. Preventivno zaštićena područja s toga je </w:t>
            </w:r>
            <w:r w:rsidRPr="00BB1BAF">
              <w:rPr>
                <w:b/>
                <w:bCs/>
                <w:sz w:val="20"/>
                <w:szCs w:val="20"/>
              </w:rPr>
              <w:t>primjedba neutemeljena</w:t>
            </w:r>
            <w:r w:rsidRPr="00E33973">
              <w:rPr>
                <w:sz w:val="20"/>
                <w:szCs w:val="20"/>
              </w:rPr>
              <w:t xml:space="preserve">. </w:t>
            </w:r>
          </w:p>
          <w:p w14:paraId="4F75C365" w14:textId="77777777" w:rsidR="00E33973" w:rsidRPr="00E33973" w:rsidRDefault="00E33973" w:rsidP="00E33973">
            <w:pPr>
              <w:jc w:val="both"/>
              <w:rPr>
                <w:sz w:val="20"/>
                <w:szCs w:val="20"/>
              </w:rPr>
            </w:pPr>
          </w:p>
          <w:p w14:paraId="73D5D7CC" w14:textId="77777777" w:rsidR="00E33973" w:rsidRPr="00A8044E" w:rsidRDefault="00E33973" w:rsidP="00E33973">
            <w:pPr>
              <w:jc w:val="both"/>
              <w:rPr>
                <w:b/>
                <w:bCs/>
                <w:sz w:val="20"/>
                <w:szCs w:val="20"/>
              </w:rPr>
            </w:pPr>
            <w:r w:rsidRPr="00E33973">
              <w:rPr>
                <w:sz w:val="20"/>
                <w:szCs w:val="20"/>
              </w:rPr>
              <w:t xml:space="preserve">Pitanje urbanih toplinskih otoka obrađeno je u Studiji, Poglavlje 7. </w:t>
            </w:r>
            <w:r w:rsidRPr="00E33973">
              <w:rPr>
                <w:sz w:val="20"/>
                <w:szCs w:val="20"/>
              </w:rPr>
              <w:lastRenderedPageBreak/>
              <w:t xml:space="preserve">Klimatska obilježja grada Osijeka i klimatske promjene, </w:t>
            </w:r>
            <w:proofErr w:type="spellStart"/>
            <w:r w:rsidRPr="00E33973">
              <w:rPr>
                <w:sz w:val="20"/>
                <w:szCs w:val="20"/>
              </w:rPr>
              <w:t>potpoglavlje</w:t>
            </w:r>
            <w:proofErr w:type="spellEnd"/>
            <w:r w:rsidRPr="00E33973">
              <w:rPr>
                <w:sz w:val="20"/>
                <w:szCs w:val="20"/>
              </w:rPr>
              <w:t xml:space="preserve"> 7.3. Analiza efekta toplinskog otoka i lokalne klimatske zone. Na temelju dostupnih podataka pristupilo se analizi urbanih toplinskih otoka metodom analize lokalnih klimatskih zona – metodološki pristup na temelju kojeg je moguće analizirati urbane toplinske otoke posredstvom mikroklimatskih podataka i podataka o površinskom pokrovu. S obzirom da analiza predviđa korištenje adekvatnih mikroklimatskih podataka s podacima o materijalima, rezultati analize su orijentacijske prirode zbog čega su u strategiji propisane razne mjere i </w:t>
            </w:r>
            <w:proofErr w:type="spellStart"/>
            <w:r w:rsidRPr="00E33973">
              <w:rPr>
                <w:sz w:val="20"/>
                <w:szCs w:val="20"/>
              </w:rPr>
              <w:t>ko</w:t>
            </w:r>
            <w:proofErr w:type="spellEnd"/>
            <w:r w:rsidRPr="00E33973">
              <w:rPr>
                <w:sz w:val="20"/>
                <w:szCs w:val="20"/>
              </w:rPr>
              <w:t xml:space="preserve">-mjere koje će omogućiti </w:t>
            </w:r>
            <w:proofErr w:type="spellStart"/>
            <w:r w:rsidRPr="00E33973">
              <w:rPr>
                <w:sz w:val="20"/>
                <w:szCs w:val="20"/>
              </w:rPr>
              <w:t>sakuplajnje</w:t>
            </w:r>
            <w:proofErr w:type="spellEnd"/>
            <w:r w:rsidRPr="00E33973">
              <w:rPr>
                <w:sz w:val="20"/>
                <w:szCs w:val="20"/>
              </w:rPr>
              <w:t xml:space="preserve"> podataka ali i djelovanje Grada s intencijom dugoročnog smanjenja utjecaja urbanih toplinskih otoka . Zbog navedenoga, </w:t>
            </w:r>
            <w:r w:rsidRPr="00A8044E">
              <w:rPr>
                <w:b/>
                <w:bCs/>
                <w:sz w:val="20"/>
                <w:szCs w:val="20"/>
              </w:rPr>
              <w:t>primjedba je neosnovana i ne prihvaća se.</w:t>
            </w:r>
          </w:p>
          <w:p w14:paraId="6DC4B2B4" w14:textId="77777777" w:rsidR="00E33973" w:rsidRPr="00E33973" w:rsidRDefault="00E33973" w:rsidP="00E33973">
            <w:pPr>
              <w:jc w:val="both"/>
              <w:rPr>
                <w:sz w:val="20"/>
                <w:szCs w:val="20"/>
              </w:rPr>
            </w:pPr>
          </w:p>
          <w:p w14:paraId="2E089E80" w14:textId="77777777" w:rsidR="00E33973" w:rsidRPr="00E33973" w:rsidRDefault="00E33973" w:rsidP="00E33973">
            <w:pPr>
              <w:jc w:val="both"/>
              <w:rPr>
                <w:sz w:val="20"/>
                <w:szCs w:val="20"/>
              </w:rPr>
            </w:pPr>
            <w:r w:rsidRPr="00A8044E">
              <w:rPr>
                <w:b/>
                <w:bCs/>
                <w:sz w:val="20"/>
                <w:szCs w:val="20"/>
              </w:rPr>
              <w:t>Primjedba na terenska istraživanja se prihvaća</w:t>
            </w:r>
            <w:r w:rsidRPr="00E33973">
              <w:rPr>
                <w:sz w:val="20"/>
                <w:szCs w:val="20"/>
              </w:rPr>
              <w:t xml:space="preserve"> i biti će nadopunjena s podacima o terenskim </w:t>
            </w:r>
            <w:proofErr w:type="spellStart"/>
            <w:r w:rsidRPr="00E33973">
              <w:rPr>
                <w:sz w:val="20"/>
                <w:szCs w:val="20"/>
              </w:rPr>
              <w:t>istraživanjim</w:t>
            </w:r>
            <w:proofErr w:type="spellEnd"/>
            <w:r w:rsidRPr="00E33973">
              <w:rPr>
                <w:sz w:val="20"/>
                <w:szCs w:val="20"/>
              </w:rPr>
              <w:t>.</w:t>
            </w:r>
          </w:p>
          <w:p w14:paraId="1BB558C3" w14:textId="77777777" w:rsidR="00E33973" w:rsidRPr="00E33973" w:rsidRDefault="00E33973" w:rsidP="00E33973">
            <w:pPr>
              <w:jc w:val="both"/>
              <w:rPr>
                <w:sz w:val="20"/>
                <w:szCs w:val="20"/>
              </w:rPr>
            </w:pPr>
          </w:p>
          <w:p w14:paraId="55E2F156" w14:textId="171AF687" w:rsidR="00344ED9" w:rsidRPr="003257CB" w:rsidRDefault="00E33973" w:rsidP="00E33973">
            <w:pPr>
              <w:jc w:val="both"/>
              <w:rPr>
                <w:sz w:val="20"/>
                <w:szCs w:val="20"/>
              </w:rPr>
            </w:pPr>
            <w:r w:rsidRPr="00A8044E">
              <w:rPr>
                <w:b/>
                <w:bCs/>
                <w:sz w:val="20"/>
                <w:szCs w:val="20"/>
              </w:rPr>
              <w:t>Primjedba na provedene online ankete je osnovana</w:t>
            </w:r>
            <w:r w:rsidRPr="00E33973">
              <w:rPr>
                <w:sz w:val="20"/>
                <w:szCs w:val="20"/>
              </w:rPr>
              <w:t xml:space="preserve"> i biti će pojašnjeno u Strategiji.</w:t>
            </w:r>
          </w:p>
        </w:tc>
      </w:tr>
      <w:tr w:rsidR="00344ED9" w:rsidRPr="003257CB" w14:paraId="6D5E3BCC" w14:textId="77777777" w:rsidTr="0021278E">
        <w:tc>
          <w:tcPr>
            <w:tcW w:w="1520" w:type="dxa"/>
            <w:vAlign w:val="center"/>
          </w:tcPr>
          <w:p w14:paraId="672FA1AA" w14:textId="2AD4730E" w:rsidR="00344ED9" w:rsidRPr="003257CB" w:rsidRDefault="00344ED9" w:rsidP="0034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37" w:type="dxa"/>
            <w:vAlign w:val="center"/>
          </w:tcPr>
          <w:p w14:paraId="2959E282" w14:textId="268D4F44" w:rsidR="00344ED9" w:rsidRPr="003257CB" w:rsidRDefault="00614BE4" w:rsidP="00344E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Kristinka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Baglama</w:t>
            </w:r>
            <w:proofErr w:type="spellEnd"/>
          </w:p>
        </w:tc>
        <w:tc>
          <w:tcPr>
            <w:tcW w:w="1549" w:type="dxa"/>
            <w:vAlign w:val="center"/>
          </w:tcPr>
          <w:p w14:paraId="239C7D83" w14:textId="3DDEF04E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F2387">
              <w:rPr>
                <w:sz w:val="20"/>
                <w:szCs w:val="20"/>
              </w:rPr>
              <w:t>odaci na</w:t>
            </w:r>
            <w:r>
              <w:rPr>
                <w:sz w:val="20"/>
                <w:szCs w:val="20"/>
              </w:rPr>
              <w:t xml:space="preserve"> </w:t>
            </w:r>
            <w:r w:rsidRPr="007F2387">
              <w:rPr>
                <w:sz w:val="20"/>
                <w:szCs w:val="20"/>
              </w:rPr>
              <w:t>kojima se osniva</w:t>
            </w:r>
            <w:r>
              <w:rPr>
                <w:sz w:val="20"/>
                <w:szCs w:val="20"/>
              </w:rPr>
              <w:t xml:space="preserve"> </w:t>
            </w:r>
            <w:r w:rsidRPr="007F2387">
              <w:rPr>
                <w:sz w:val="20"/>
                <w:szCs w:val="20"/>
              </w:rPr>
              <w:t>strategija su</w:t>
            </w:r>
            <w:r>
              <w:rPr>
                <w:sz w:val="20"/>
                <w:szCs w:val="20"/>
              </w:rPr>
              <w:t xml:space="preserve"> </w:t>
            </w:r>
            <w:r w:rsidRPr="007F2387">
              <w:rPr>
                <w:sz w:val="20"/>
                <w:szCs w:val="20"/>
              </w:rPr>
              <w:t>djelomično</w:t>
            </w:r>
            <w:r>
              <w:rPr>
                <w:sz w:val="20"/>
                <w:szCs w:val="20"/>
              </w:rPr>
              <w:t xml:space="preserve"> </w:t>
            </w:r>
            <w:r w:rsidRPr="007F2387">
              <w:rPr>
                <w:sz w:val="20"/>
                <w:szCs w:val="20"/>
              </w:rPr>
              <w:t>zastarjeli : (str. 8.): karta</w:t>
            </w:r>
            <w:r>
              <w:rPr>
                <w:sz w:val="20"/>
                <w:szCs w:val="20"/>
              </w:rPr>
              <w:t xml:space="preserve"> </w:t>
            </w:r>
            <w:r w:rsidRPr="007F2387">
              <w:rPr>
                <w:sz w:val="20"/>
                <w:szCs w:val="20"/>
              </w:rPr>
              <w:t>staništa (2004.) 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2387">
              <w:rPr>
                <w:sz w:val="20"/>
                <w:szCs w:val="20"/>
              </w:rPr>
              <w:t>nešumskih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2387">
              <w:rPr>
                <w:sz w:val="20"/>
                <w:szCs w:val="20"/>
              </w:rPr>
              <w:t>staništa</w:t>
            </w:r>
          </w:p>
          <w:p w14:paraId="4587CD5A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lastRenderedPageBreak/>
              <w:t>(2016.), karte rizika poplava (2014.), podaci</w:t>
            </w:r>
          </w:p>
          <w:p w14:paraId="05DDC978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o šumama (??), Zeleni katastar (2012.)</w:t>
            </w:r>
          </w:p>
          <w:p w14:paraId="2886B6EB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‐ pojedine fotografije ne odgovaraju</w:t>
            </w:r>
          </w:p>
          <w:p w14:paraId="5324234C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sadašnjem stanju hortikulture, kao npr.</w:t>
            </w:r>
          </w:p>
          <w:p w14:paraId="2C6AF0DA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(str.78.) dvorca Pejačević</w:t>
            </w:r>
          </w:p>
          <w:p w14:paraId="1DA6B7A9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‐ dva terenska istraživanja: Studija ne</w:t>
            </w:r>
          </w:p>
          <w:p w14:paraId="1FE0876B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definira koji prostor je tom prilikom</w:t>
            </w:r>
          </w:p>
          <w:p w14:paraId="03B7D01E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dokumentiran ni koliko dugo su trajala</w:t>
            </w:r>
          </w:p>
          <w:p w14:paraId="3DB7C3E0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(str.9)</w:t>
            </w:r>
          </w:p>
          <w:p w14:paraId="4DE22BF6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‐ online upitnik/anketa navodi svega</w:t>
            </w:r>
          </w:p>
          <w:p w14:paraId="78BD500F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dvadesetak sudionika u razdoblju od gotovo</w:t>
            </w:r>
          </w:p>
          <w:p w14:paraId="11B54B89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3 mjeseca što znači da naručioci/ autori</w:t>
            </w:r>
          </w:p>
          <w:p w14:paraId="731F7273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studije nisu komunicirali upitnik javnosti niti</w:t>
            </w:r>
          </w:p>
          <w:p w14:paraId="1876A203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prezentirali kroz medije, nisu navedena</w:t>
            </w:r>
          </w:p>
          <w:p w14:paraId="1A3206DD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anketna pitanja ni dobiveni rezultati</w:t>
            </w:r>
          </w:p>
          <w:p w14:paraId="0C3E017D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‐ iz tablice 46. ispušten je dabar čije stanište</w:t>
            </w:r>
          </w:p>
          <w:p w14:paraId="41CBCA8A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se nalazi na navedenom lokalitetu</w:t>
            </w:r>
          </w:p>
          <w:p w14:paraId="4225D777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‐ kao što je navedeno na str. 159. „Kako je</w:t>
            </w:r>
          </w:p>
          <w:p w14:paraId="40C7C713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obrazloženo u uvodnom poglavlju, postoje</w:t>
            </w:r>
          </w:p>
          <w:p w14:paraId="4B2CEB62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lastRenderedPageBreak/>
              <w:t>različito poimanje značenja zeleno – plave</w:t>
            </w:r>
          </w:p>
          <w:p w14:paraId="154EF362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infrastrukture, ali i pristupa samoj</w:t>
            </w:r>
          </w:p>
          <w:p w14:paraId="10DBB5D8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evaluaciji...” Studija ne može biti potpuna</w:t>
            </w:r>
          </w:p>
          <w:p w14:paraId="57DBDEA2" w14:textId="77777777" w:rsidR="007F2387" w:rsidRPr="007F2387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>bez dodatne evaluacije i jasnog definiranja</w:t>
            </w:r>
          </w:p>
          <w:p w14:paraId="78535058" w14:textId="28F8CB6A" w:rsidR="00344ED9" w:rsidRPr="003257CB" w:rsidRDefault="007F2387" w:rsidP="00104350">
            <w:pPr>
              <w:jc w:val="center"/>
              <w:rPr>
                <w:sz w:val="20"/>
                <w:szCs w:val="20"/>
              </w:rPr>
            </w:pPr>
            <w:r w:rsidRPr="007F2387">
              <w:rPr>
                <w:sz w:val="20"/>
                <w:szCs w:val="20"/>
              </w:rPr>
              <w:t xml:space="preserve">značenja zeleno‐plave </w:t>
            </w:r>
            <w:proofErr w:type="spellStart"/>
            <w:r w:rsidRPr="007F2387">
              <w:rPr>
                <w:sz w:val="20"/>
                <w:szCs w:val="20"/>
              </w:rPr>
              <w:t>infrastukture</w:t>
            </w:r>
            <w:proofErr w:type="spellEnd"/>
          </w:p>
        </w:tc>
        <w:tc>
          <w:tcPr>
            <w:tcW w:w="3980" w:type="dxa"/>
            <w:vAlign w:val="center"/>
          </w:tcPr>
          <w:p w14:paraId="7799EEB8" w14:textId="77777777" w:rsidR="00104350" w:rsidRDefault="00104350" w:rsidP="00104350">
            <w:pPr>
              <w:rPr>
                <w:sz w:val="20"/>
                <w:szCs w:val="20"/>
              </w:rPr>
            </w:pPr>
            <w:r w:rsidRPr="00104350">
              <w:rPr>
                <w:sz w:val="20"/>
                <w:szCs w:val="20"/>
              </w:rPr>
              <w:lastRenderedPageBreak/>
              <w:t>Studija je uglavnom tehnički i konceptualno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korektno izrađena ali bez izrađenog novog,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modernog GUP‐a, prostornih planova, bez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Krajobrazne osnove ( tek predviđena; str.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70),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bez jasne vizije i planova/strategija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revitalizacije zaštićenih perivoja te bez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novog,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temeljitog i konstantno ažuriranog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Zelenog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katastra grada Osijeka, njen domet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je</w:t>
            </w:r>
            <w:r>
              <w:rPr>
                <w:sz w:val="20"/>
                <w:szCs w:val="20"/>
              </w:rPr>
              <w:t xml:space="preserve"> </w:t>
            </w:r>
            <w:r w:rsidRPr="00104350">
              <w:rPr>
                <w:sz w:val="20"/>
                <w:szCs w:val="20"/>
              </w:rPr>
              <w:t>ograničen.</w:t>
            </w:r>
            <w:r>
              <w:rPr>
                <w:sz w:val="20"/>
                <w:szCs w:val="20"/>
              </w:rPr>
              <w:t xml:space="preserve"> </w:t>
            </w:r>
          </w:p>
          <w:p w14:paraId="5CDAD3D8" w14:textId="2D24CB59" w:rsidR="00104350" w:rsidRPr="00104350" w:rsidRDefault="00104350" w:rsidP="00104350">
            <w:pPr>
              <w:rPr>
                <w:sz w:val="20"/>
                <w:szCs w:val="20"/>
              </w:rPr>
            </w:pPr>
            <w:r w:rsidRPr="00104350">
              <w:rPr>
                <w:sz w:val="20"/>
                <w:szCs w:val="20"/>
              </w:rPr>
              <w:t>Javna rasprava nije dovoljno promovirana</w:t>
            </w:r>
          </w:p>
          <w:p w14:paraId="51FDE454" w14:textId="77777777" w:rsidR="00104350" w:rsidRPr="00104350" w:rsidRDefault="00104350" w:rsidP="00104350">
            <w:pPr>
              <w:rPr>
                <w:sz w:val="20"/>
                <w:szCs w:val="20"/>
              </w:rPr>
            </w:pPr>
            <w:r w:rsidRPr="00104350">
              <w:rPr>
                <w:sz w:val="20"/>
                <w:szCs w:val="20"/>
              </w:rPr>
              <w:t>kroz medije niti poticana stručna i</w:t>
            </w:r>
          </w:p>
          <w:p w14:paraId="2F3E25DF" w14:textId="142D42B6" w:rsidR="00344ED9" w:rsidRPr="003257CB" w:rsidRDefault="00104350" w:rsidP="00104350">
            <w:pPr>
              <w:rPr>
                <w:sz w:val="20"/>
                <w:szCs w:val="20"/>
              </w:rPr>
            </w:pPr>
            <w:r w:rsidRPr="00104350">
              <w:rPr>
                <w:sz w:val="20"/>
                <w:szCs w:val="20"/>
              </w:rPr>
              <w:lastRenderedPageBreak/>
              <w:t>građanska javnost da se uključi u istu.</w:t>
            </w:r>
          </w:p>
        </w:tc>
        <w:tc>
          <w:tcPr>
            <w:tcW w:w="2294" w:type="dxa"/>
            <w:vAlign w:val="center"/>
          </w:tcPr>
          <w:p w14:paraId="1374D271" w14:textId="333E0797" w:rsidR="007E54AB" w:rsidRPr="007E54AB" w:rsidRDefault="007E54AB" w:rsidP="007E54AB">
            <w:pPr>
              <w:jc w:val="both"/>
              <w:rPr>
                <w:b/>
                <w:bCs/>
                <w:sz w:val="20"/>
                <w:szCs w:val="20"/>
              </w:rPr>
            </w:pPr>
            <w:r w:rsidRPr="007E54AB">
              <w:rPr>
                <w:b/>
                <w:bCs/>
                <w:sz w:val="20"/>
                <w:szCs w:val="20"/>
              </w:rPr>
              <w:lastRenderedPageBreak/>
              <w:t>Primjedbe se djelomično prihvaćaju</w:t>
            </w:r>
          </w:p>
          <w:p w14:paraId="0D9A1564" w14:textId="77777777" w:rsidR="007E54AB" w:rsidRDefault="007E54AB" w:rsidP="007E54AB">
            <w:pPr>
              <w:jc w:val="both"/>
              <w:rPr>
                <w:sz w:val="20"/>
                <w:szCs w:val="20"/>
              </w:rPr>
            </w:pPr>
          </w:p>
          <w:p w14:paraId="192B5C14" w14:textId="362537B8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  <w:r w:rsidRPr="007E54AB">
              <w:rPr>
                <w:sz w:val="20"/>
                <w:szCs w:val="20"/>
              </w:rPr>
              <w:t>Primjedba se odnosi na zastarjelost korištenih podataka što je točno ali potrebno je napomenuti da</w:t>
            </w:r>
            <w:r w:rsidR="003535A0">
              <w:rPr>
                <w:sz w:val="20"/>
                <w:szCs w:val="20"/>
              </w:rPr>
              <w:t xml:space="preserve"> su</w:t>
            </w:r>
            <w:r w:rsidRPr="007E54AB">
              <w:rPr>
                <w:sz w:val="20"/>
                <w:szCs w:val="20"/>
              </w:rPr>
              <w:t xml:space="preserve"> za neke sastavnice okoliša to</w:t>
            </w:r>
            <w:r w:rsidR="003535A0">
              <w:rPr>
                <w:sz w:val="20"/>
                <w:szCs w:val="20"/>
              </w:rPr>
              <w:t xml:space="preserve"> </w:t>
            </w:r>
            <w:r w:rsidRPr="007E54AB">
              <w:rPr>
                <w:sz w:val="20"/>
                <w:szCs w:val="20"/>
              </w:rPr>
              <w:t xml:space="preserve">i jedini dostupni podaci. Za izradu dokumenata, </w:t>
            </w:r>
            <w:r w:rsidRPr="007E54AB">
              <w:rPr>
                <w:sz w:val="20"/>
                <w:szCs w:val="20"/>
              </w:rPr>
              <w:lastRenderedPageBreak/>
              <w:t xml:space="preserve">korišteni su službeni podaci dobiveni od strane Grada Osijeka i javnopravnih tijela, sukladno dobroj praksi. </w:t>
            </w:r>
          </w:p>
          <w:p w14:paraId="2F783320" w14:textId="77777777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</w:p>
          <w:p w14:paraId="314E0D85" w14:textId="4CD762E3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  <w:r w:rsidRPr="007E54AB">
              <w:rPr>
                <w:sz w:val="20"/>
                <w:szCs w:val="20"/>
              </w:rPr>
              <w:t>Točno je navedeno da su za određene lokalitete korištene zastarjele fotografije, međutim korištene su ciljano s obzirom da se na tim lokalitetima nije ništa značajno promijenilo od 2014. godine.</w:t>
            </w:r>
          </w:p>
          <w:p w14:paraId="1A697851" w14:textId="77777777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</w:p>
          <w:p w14:paraId="5B397C76" w14:textId="77777777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  <w:r w:rsidRPr="007E54AB">
              <w:rPr>
                <w:sz w:val="20"/>
                <w:szCs w:val="20"/>
              </w:rPr>
              <w:t xml:space="preserve">Primjedba na terenska obilascima se </w:t>
            </w:r>
            <w:r w:rsidRPr="00FF1D0D">
              <w:rPr>
                <w:b/>
                <w:bCs/>
                <w:sz w:val="20"/>
                <w:szCs w:val="20"/>
              </w:rPr>
              <w:t>prihvaća</w:t>
            </w:r>
            <w:r w:rsidRPr="007E54AB">
              <w:rPr>
                <w:sz w:val="20"/>
                <w:szCs w:val="20"/>
              </w:rPr>
              <w:t xml:space="preserve"> te će dokument biti nadopunjen s podacima o vremenskom trajanju i posjećenim lokalitetima.</w:t>
            </w:r>
          </w:p>
          <w:p w14:paraId="4768AE2F" w14:textId="77777777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</w:p>
          <w:p w14:paraId="15EF0975" w14:textId="77777777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  <w:r w:rsidRPr="007E54AB">
              <w:rPr>
                <w:sz w:val="20"/>
                <w:szCs w:val="20"/>
              </w:rPr>
              <w:t xml:space="preserve">Primjedba na Online upitnik/anketu je osnovana i </w:t>
            </w:r>
            <w:r w:rsidRPr="00793252">
              <w:rPr>
                <w:b/>
                <w:bCs/>
                <w:sz w:val="20"/>
                <w:szCs w:val="20"/>
              </w:rPr>
              <w:t>prihvaća se</w:t>
            </w:r>
            <w:r w:rsidRPr="007E54AB">
              <w:rPr>
                <w:sz w:val="20"/>
                <w:szCs w:val="20"/>
              </w:rPr>
              <w:t xml:space="preserve">, postupak će biti dodatno pojašnjen. </w:t>
            </w:r>
          </w:p>
          <w:p w14:paraId="0E4A92D1" w14:textId="77777777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</w:p>
          <w:p w14:paraId="5DEF1013" w14:textId="77777777" w:rsidR="007E54AB" w:rsidRPr="007E54AB" w:rsidRDefault="007E54AB" w:rsidP="007E54AB">
            <w:pPr>
              <w:jc w:val="both"/>
              <w:rPr>
                <w:sz w:val="20"/>
                <w:szCs w:val="20"/>
              </w:rPr>
            </w:pPr>
            <w:r w:rsidRPr="00793252">
              <w:rPr>
                <w:b/>
                <w:bCs/>
                <w:sz w:val="20"/>
                <w:szCs w:val="20"/>
              </w:rPr>
              <w:t>Primjedba na ekološku mrežu nije osnovana i ne prihvaća se</w:t>
            </w:r>
            <w:r w:rsidRPr="007E54AB">
              <w:rPr>
                <w:sz w:val="20"/>
                <w:szCs w:val="20"/>
              </w:rPr>
              <w:t>. U tablici 46. navode se ciljevi očuvanja ekološke mreže Natura 2000 HR2001308 Donji tok Drave kako je navedeno u posljednjoj Uredbi o ekološkoj mreži . U službenim (zakonskim) dokumentima ne spominje se dabar te se kao takav ni ne navodi u Tablici 46.</w:t>
            </w:r>
          </w:p>
          <w:p w14:paraId="7E3FB70C" w14:textId="374892ED" w:rsidR="00344ED9" w:rsidRPr="003257CB" w:rsidRDefault="007E54AB" w:rsidP="007E54AB">
            <w:pPr>
              <w:jc w:val="both"/>
              <w:rPr>
                <w:sz w:val="20"/>
                <w:szCs w:val="20"/>
              </w:rPr>
            </w:pPr>
            <w:r w:rsidRPr="007E54AB">
              <w:rPr>
                <w:sz w:val="20"/>
                <w:szCs w:val="20"/>
              </w:rPr>
              <w:t>Zastupljenost dabra na širem području Osijeka navodi se u poglavlju 6.11.1. Bioraznolikost šireg područja grada Osijeka (str. 120).</w:t>
            </w:r>
          </w:p>
        </w:tc>
      </w:tr>
      <w:tr w:rsidR="00344ED9" w:rsidRPr="003257CB" w14:paraId="6A7748A6" w14:textId="77777777" w:rsidTr="0021278E">
        <w:tc>
          <w:tcPr>
            <w:tcW w:w="1520" w:type="dxa"/>
            <w:vAlign w:val="center"/>
          </w:tcPr>
          <w:p w14:paraId="35D00FCE" w14:textId="3FB9B867" w:rsidR="00344ED9" w:rsidRPr="003257CB" w:rsidRDefault="002D2F48" w:rsidP="0034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37" w:type="dxa"/>
            <w:vAlign w:val="center"/>
          </w:tcPr>
          <w:p w14:paraId="09FB28FB" w14:textId="355D5B20" w:rsidR="00344ED9" w:rsidRPr="003257CB" w:rsidRDefault="000F52B0" w:rsidP="0034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Jovanović Glavaš</w:t>
            </w:r>
          </w:p>
        </w:tc>
        <w:tc>
          <w:tcPr>
            <w:tcW w:w="1549" w:type="dxa"/>
            <w:vAlign w:val="center"/>
          </w:tcPr>
          <w:p w14:paraId="035FE22E" w14:textId="6B41B36C" w:rsidR="00344ED9" w:rsidRPr="003257CB" w:rsidRDefault="00DA2E17" w:rsidP="0034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Općenito</w:t>
            </w:r>
          </w:p>
        </w:tc>
        <w:tc>
          <w:tcPr>
            <w:tcW w:w="3980" w:type="dxa"/>
            <w:vAlign w:val="center"/>
          </w:tcPr>
          <w:p w14:paraId="5F13E3BA" w14:textId="5204E5D3" w:rsidR="004B0E07" w:rsidRPr="004B0E07" w:rsidRDefault="004B0E07" w:rsidP="004B0E07">
            <w:pPr>
              <w:jc w:val="both"/>
              <w:rPr>
                <w:sz w:val="20"/>
                <w:szCs w:val="20"/>
              </w:rPr>
            </w:pPr>
            <w:r w:rsidRPr="004B0E07">
              <w:rPr>
                <w:sz w:val="20"/>
                <w:szCs w:val="20"/>
              </w:rPr>
              <w:t>Dokument u teoriji zvuči dosta dobro, no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nažalost, neki od planiranih projekata, kao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 xml:space="preserve">što je gradnja </w:t>
            </w:r>
            <w:proofErr w:type="spellStart"/>
            <w:r w:rsidRPr="004B0E07">
              <w:rPr>
                <w:sz w:val="20"/>
                <w:szCs w:val="20"/>
              </w:rPr>
              <w:t>obaloutvrde</w:t>
            </w:r>
            <w:proofErr w:type="spellEnd"/>
            <w:r w:rsidRPr="004B0E07">
              <w:rPr>
                <w:sz w:val="20"/>
                <w:szCs w:val="20"/>
              </w:rPr>
              <w:t xml:space="preserve"> na Dravi kod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Pampasa i Višnjevca, nisu nikako u skladu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sa zelenom infrastrukturom. Naime,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svugdje u razvijenim zemljama se uklanjaju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B0E07">
              <w:rPr>
                <w:sz w:val="20"/>
                <w:szCs w:val="20"/>
              </w:rPr>
              <w:t>obaloutvrde</w:t>
            </w:r>
            <w:proofErr w:type="spellEnd"/>
            <w:r w:rsidRPr="004B0E07">
              <w:rPr>
                <w:sz w:val="20"/>
                <w:szCs w:val="20"/>
              </w:rPr>
              <w:t xml:space="preserve">, dok ih mi </w:t>
            </w:r>
            <w:proofErr w:type="spellStart"/>
            <w:r w:rsidRPr="004B0E07">
              <w:rPr>
                <w:sz w:val="20"/>
                <w:szCs w:val="20"/>
              </w:rPr>
              <w:t>jos</w:t>
            </w:r>
            <w:proofErr w:type="spellEnd"/>
            <w:r w:rsidRPr="004B0E07">
              <w:rPr>
                <w:sz w:val="20"/>
                <w:szCs w:val="20"/>
              </w:rPr>
              <w:t xml:space="preserve"> uvijek gradimo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iako se zna da je to financijski vrlo skupo i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neučinkovito rješenje s brojnim problemima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za ljude i prirodu (od povećanog rizika od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poplava, smanjenja razine podzemnih voda,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 xml:space="preserve">smanjenja učinkovitosti </w:t>
            </w:r>
            <w:proofErr w:type="spellStart"/>
            <w:r w:rsidRPr="004B0E07">
              <w:rPr>
                <w:sz w:val="20"/>
                <w:szCs w:val="20"/>
              </w:rPr>
              <w:t>samopočišćavanja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vode, do gubitka staništa).</w:t>
            </w:r>
          </w:p>
          <w:p w14:paraId="2BE6F4A7" w14:textId="5FDD59D1" w:rsidR="004B0E07" w:rsidRPr="004B0E07" w:rsidRDefault="004B0E07" w:rsidP="004B0E07">
            <w:pPr>
              <w:jc w:val="both"/>
              <w:rPr>
                <w:sz w:val="20"/>
                <w:szCs w:val="20"/>
              </w:rPr>
            </w:pPr>
            <w:r w:rsidRPr="004B0E07">
              <w:rPr>
                <w:sz w:val="20"/>
                <w:szCs w:val="20"/>
              </w:rPr>
              <w:t>Osim toga, treba se zabraniti nepotrebno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rezanje krošnji po cijelom gradu jer je to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također dokazano štetno za drveće.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Također, treba se početi kažnjavati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pojedince koji sijeku stabla bez dozvole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kako bi si osigurali parkirno mjesto ispred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kuće. I komunalni redari bi trebali početi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raditi i nedjeljom jer ima puno ljudi koji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nauštrb toga, nedjeljom voze i parkiraju</w:t>
            </w:r>
            <w:r>
              <w:rPr>
                <w:sz w:val="20"/>
                <w:szCs w:val="20"/>
              </w:rPr>
              <w:t xml:space="preserve"> </w:t>
            </w:r>
            <w:r w:rsidRPr="004B0E07">
              <w:rPr>
                <w:sz w:val="20"/>
                <w:szCs w:val="20"/>
              </w:rPr>
              <w:t>svugdje jer znaju da neće dobiti kaznu</w:t>
            </w:r>
          </w:p>
          <w:p w14:paraId="1074ACA5" w14:textId="56447299" w:rsidR="002E6203" w:rsidRPr="003257CB" w:rsidRDefault="004B0E07" w:rsidP="004B0E07">
            <w:pPr>
              <w:jc w:val="both"/>
              <w:rPr>
                <w:sz w:val="20"/>
                <w:szCs w:val="20"/>
              </w:rPr>
            </w:pPr>
            <w:r w:rsidRPr="004B0E07">
              <w:rPr>
                <w:sz w:val="20"/>
                <w:szCs w:val="20"/>
              </w:rPr>
              <w:t>(primjer su auti oko katedrale).</w:t>
            </w:r>
          </w:p>
        </w:tc>
        <w:tc>
          <w:tcPr>
            <w:tcW w:w="2294" w:type="dxa"/>
            <w:vAlign w:val="center"/>
          </w:tcPr>
          <w:p w14:paraId="6EA53133" w14:textId="66412A07" w:rsidR="00832EBE" w:rsidRDefault="00832EBE" w:rsidP="00085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Primjedbe </w:t>
            </w:r>
            <w:r w:rsidR="00AD2565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prihvaćaju.</w:t>
            </w:r>
          </w:p>
          <w:p w14:paraId="20C03FE8" w14:textId="0A60622E" w:rsidR="00832EBE" w:rsidRDefault="00832EBE" w:rsidP="00085CFC">
            <w:pPr>
              <w:rPr>
                <w:sz w:val="20"/>
                <w:szCs w:val="20"/>
              </w:rPr>
            </w:pPr>
          </w:p>
          <w:p w14:paraId="2EA32959" w14:textId="5EA24ED0" w:rsidR="00832EBE" w:rsidRDefault="00832EBE" w:rsidP="00085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Obrazloženje:</w:t>
            </w:r>
          </w:p>
          <w:p w14:paraId="36FA01DA" w14:textId="6E2A7A5D" w:rsidR="00437035" w:rsidRDefault="00085CFC" w:rsidP="00085CFC">
            <w:pPr>
              <w:rPr>
                <w:sz w:val="20"/>
                <w:szCs w:val="20"/>
              </w:rPr>
            </w:pPr>
            <w:r w:rsidRPr="00085CFC">
              <w:rPr>
                <w:sz w:val="20"/>
                <w:szCs w:val="20"/>
              </w:rPr>
              <w:t xml:space="preserve">Komentar za </w:t>
            </w:r>
            <w:proofErr w:type="spellStart"/>
            <w:r w:rsidRPr="00085CFC">
              <w:rPr>
                <w:sz w:val="20"/>
                <w:szCs w:val="20"/>
              </w:rPr>
              <w:t>obaloutvrde</w:t>
            </w:r>
            <w:proofErr w:type="spellEnd"/>
            <w:r w:rsidRPr="00085CFC">
              <w:rPr>
                <w:sz w:val="20"/>
                <w:szCs w:val="20"/>
              </w:rPr>
              <w:t xml:space="preserve"> je komentiran u prethodnim komentarima i nije potrebno ponavljati razloge neosnovanosti primjedbe. </w:t>
            </w:r>
          </w:p>
          <w:p w14:paraId="02F5615F" w14:textId="77777777" w:rsidR="00396C5E" w:rsidRDefault="00396C5E" w:rsidP="00085CFC">
            <w:pPr>
              <w:rPr>
                <w:sz w:val="20"/>
                <w:szCs w:val="20"/>
              </w:rPr>
            </w:pPr>
          </w:p>
          <w:p w14:paraId="4A75EBE6" w14:textId="2B513E80" w:rsidR="00085CFC" w:rsidRPr="00085CFC" w:rsidRDefault="00396C5E" w:rsidP="00085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ostalo, i</w:t>
            </w:r>
            <w:r w:rsidR="00085CFC" w:rsidRPr="00085CFC">
              <w:rPr>
                <w:sz w:val="20"/>
                <w:szCs w:val="20"/>
              </w:rPr>
              <w:t xml:space="preserve">zrađivač smatra komentar osnovanim, ali primjedba nije osnovana s obzirom da se navedena pitanja problematiziraju u Strategiji, Poglavlje 3. Preporuke za razvoj zelene infrastrukture, 3.2. Standardizacija i provedba javnih politika . </w:t>
            </w:r>
          </w:p>
          <w:p w14:paraId="670FF6AD" w14:textId="5E42F119" w:rsidR="005A6FDA" w:rsidRPr="003257CB" w:rsidRDefault="005A6FDA" w:rsidP="00344E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3818E2AD" w14:textId="7D4A54B5" w:rsidR="0042117A" w:rsidRDefault="0042117A" w:rsidP="0042117A">
      <w:pPr>
        <w:jc w:val="both"/>
        <w:rPr>
          <w:sz w:val="20"/>
          <w:szCs w:val="20"/>
        </w:rPr>
      </w:pPr>
    </w:p>
    <w:p w14:paraId="27A0987E" w14:textId="77777777" w:rsidR="0042117A" w:rsidRDefault="0042117A" w:rsidP="0042117A">
      <w:pPr>
        <w:jc w:val="both"/>
      </w:pPr>
    </w:p>
    <w:p w14:paraId="2DBCD9DF" w14:textId="4C3A9F6A" w:rsidR="0042117A" w:rsidRPr="002C4253" w:rsidRDefault="0042117A" w:rsidP="0042117A">
      <w:pPr>
        <w:jc w:val="both"/>
      </w:pPr>
      <w:r w:rsidRPr="002C4253">
        <w:t xml:space="preserve">KLASA: </w:t>
      </w:r>
      <w:r w:rsidR="002C4253" w:rsidRPr="002C4253">
        <w:t>351-02/20-01/4</w:t>
      </w:r>
    </w:p>
    <w:p w14:paraId="40FEFD61" w14:textId="4C94DC45" w:rsidR="0042117A" w:rsidRPr="002C4253" w:rsidRDefault="0042117A" w:rsidP="0042117A">
      <w:pPr>
        <w:jc w:val="both"/>
      </w:pPr>
      <w:r w:rsidRPr="002C4253">
        <w:t>URBROJ: 2158-1-1</w:t>
      </w:r>
      <w:r w:rsidR="002C4253" w:rsidRPr="002C4253">
        <w:t>7</w:t>
      </w:r>
      <w:r w:rsidRPr="002C4253">
        <w:t>-0</w:t>
      </w:r>
      <w:r w:rsidR="002C4253" w:rsidRPr="002C4253">
        <w:t>1</w:t>
      </w:r>
      <w:r w:rsidRPr="002C4253">
        <w:t>/01-2</w:t>
      </w:r>
      <w:r w:rsidR="002C4253" w:rsidRPr="002C4253">
        <w:t>3</w:t>
      </w:r>
      <w:r w:rsidRPr="002C4253">
        <w:t>-</w:t>
      </w:r>
      <w:r w:rsidR="002C4253" w:rsidRPr="002C4253">
        <w:t>19</w:t>
      </w:r>
    </w:p>
    <w:p w14:paraId="69E2F544" w14:textId="4F5D3DE6" w:rsidR="0090576C" w:rsidRPr="003257CB" w:rsidRDefault="0042117A" w:rsidP="0042117A">
      <w:pPr>
        <w:jc w:val="both"/>
      </w:pPr>
      <w:r>
        <w:t xml:space="preserve">Osijek,  </w:t>
      </w:r>
      <w:r w:rsidR="005A7374">
        <w:t>1</w:t>
      </w:r>
      <w:r>
        <w:t xml:space="preserve">. </w:t>
      </w:r>
      <w:r w:rsidR="005A7374">
        <w:t>ožujk</w:t>
      </w:r>
      <w:r>
        <w:t>a 202</w:t>
      </w:r>
      <w:r w:rsidR="005A7374">
        <w:t>3</w:t>
      </w:r>
      <w:r>
        <w:t>.</w:t>
      </w: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E734" w14:textId="77777777" w:rsidR="00485780" w:rsidRDefault="00485780" w:rsidP="003573B2">
      <w:r>
        <w:separator/>
      </w:r>
    </w:p>
  </w:endnote>
  <w:endnote w:type="continuationSeparator" w:id="0">
    <w:p w14:paraId="78967175" w14:textId="77777777" w:rsidR="00485780" w:rsidRDefault="00485780" w:rsidP="0035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16D8" w14:textId="77777777" w:rsidR="00485780" w:rsidRDefault="00485780" w:rsidP="003573B2">
      <w:r>
        <w:separator/>
      </w:r>
    </w:p>
  </w:footnote>
  <w:footnote w:type="continuationSeparator" w:id="0">
    <w:p w14:paraId="26945BFD" w14:textId="77777777" w:rsidR="00485780" w:rsidRDefault="00485780" w:rsidP="0035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0768EE"/>
    <w:rsid w:val="00085CFC"/>
    <w:rsid w:val="000B7AE6"/>
    <w:rsid w:val="000F52B0"/>
    <w:rsid w:val="000F6A49"/>
    <w:rsid w:val="00104350"/>
    <w:rsid w:val="001118EA"/>
    <w:rsid w:val="00124296"/>
    <w:rsid w:val="00127627"/>
    <w:rsid w:val="00131FA9"/>
    <w:rsid w:val="00153C93"/>
    <w:rsid w:val="00164D52"/>
    <w:rsid w:val="001A5FD5"/>
    <w:rsid w:val="001C27B1"/>
    <w:rsid w:val="001D2619"/>
    <w:rsid w:val="001D6665"/>
    <w:rsid w:val="0021278E"/>
    <w:rsid w:val="00222095"/>
    <w:rsid w:val="00253706"/>
    <w:rsid w:val="00270365"/>
    <w:rsid w:val="00286607"/>
    <w:rsid w:val="002A19BC"/>
    <w:rsid w:val="002A7010"/>
    <w:rsid w:val="002A746D"/>
    <w:rsid w:val="002C4253"/>
    <w:rsid w:val="002D2F48"/>
    <w:rsid w:val="002E6203"/>
    <w:rsid w:val="00344ED9"/>
    <w:rsid w:val="00351CAE"/>
    <w:rsid w:val="003535A0"/>
    <w:rsid w:val="003573B2"/>
    <w:rsid w:val="00394494"/>
    <w:rsid w:val="00396C5E"/>
    <w:rsid w:val="003A55E5"/>
    <w:rsid w:val="003C3CB5"/>
    <w:rsid w:val="003C5483"/>
    <w:rsid w:val="003D3BF1"/>
    <w:rsid w:val="003F76BE"/>
    <w:rsid w:val="00403956"/>
    <w:rsid w:val="0040447F"/>
    <w:rsid w:val="0042117A"/>
    <w:rsid w:val="00424FEA"/>
    <w:rsid w:val="00437035"/>
    <w:rsid w:val="00447E14"/>
    <w:rsid w:val="00471E09"/>
    <w:rsid w:val="00476E6F"/>
    <w:rsid w:val="004848C4"/>
    <w:rsid w:val="00485780"/>
    <w:rsid w:val="004B0E07"/>
    <w:rsid w:val="004C7645"/>
    <w:rsid w:val="004E500B"/>
    <w:rsid w:val="00507EDF"/>
    <w:rsid w:val="00541A8E"/>
    <w:rsid w:val="00564772"/>
    <w:rsid w:val="005A4BC5"/>
    <w:rsid w:val="005A6FDA"/>
    <w:rsid w:val="005A7374"/>
    <w:rsid w:val="005B03E2"/>
    <w:rsid w:val="005B3B12"/>
    <w:rsid w:val="005D3889"/>
    <w:rsid w:val="005F2AAF"/>
    <w:rsid w:val="005F2E20"/>
    <w:rsid w:val="00602E8A"/>
    <w:rsid w:val="00606671"/>
    <w:rsid w:val="006102F6"/>
    <w:rsid w:val="00614BE4"/>
    <w:rsid w:val="00673AE8"/>
    <w:rsid w:val="00683304"/>
    <w:rsid w:val="006A5978"/>
    <w:rsid w:val="006B59AF"/>
    <w:rsid w:val="006B5DBB"/>
    <w:rsid w:val="006C5D8F"/>
    <w:rsid w:val="006E0100"/>
    <w:rsid w:val="006F2A45"/>
    <w:rsid w:val="00720762"/>
    <w:rsid w:val="0074543C"/>
    <w:rsid w:val="007575FC"/>
    <w:rsid w:val="00793252"/>
    <w:rsid w:val="007949DA"/>
    <w:rsid w:val="007B182F"/>
    <w:rsid w:val="007D6DDD"/>
    <w:rsid w:val="007E54AB"/>
    <w:rsid w:val="007F2387"/>
    <w:rsid w:val="00830063"/>
    <w:rsid w:val="00832EBE"/>
    <w:rsid w:val="00835F42"/>
    <w:rsid w:val="00837915"/>
    <w:rsid w:val="00844539"/>
    <w:rsid w:val="00872A97"/>
    <w:rsid w:val="00877EA4"/>
    <w:rsid w:val="00883F20"/>
    <w:rsid w:val="00897929"/>
    <w:rsid w:val="008A10CF"/>
    <w:rsid w:val="008E4399"/>
    <w:rsid w:val="008F47B5"/>
    <w:rsid w:val="0090576C"/>
    <w:rsid w:val="0095358C"/>
    <w:rsid w:val="00964597"/>
    <w:rsid w:val="00967837"/>
    <w:rsid w:val="009E25F7"/>
    <w:rsid w:val="009F4B99"/>
    <w:rsid w:val="009F7BC3"/>
    <w:rsid w:val="00A534FD"/>
    <w:rsid w:val="00A608EF"/>
    <w:rsid w:val="00A659BF"/>
    <w:rsid w:val="00A70C67"/>
    <w:rsid w:val="00A74A18"/>
    <w:rsid w:val="00A8044E"/>
    <w:rsid w:val="00A909D8"/>
    <w:rsid w:val="00A93C7E"/>
    <w:rsid w:val="00AC203D"/>
    <w:rsid w:val="00AD2565"/>
    <w:rsid w:val="00AF3002"/>
    <w:rsid w:val="00AF385F"/>
    <w:rsid w:val="00B778D5"/>
    <w:rsid w:val="00BA75B7"/>
    <w:rsid w:val="00BB1BAF"/>
    <w:rsid w:val="00BD7000"/>
    <w:rsid w:val="00C25847"/>
    <w:rsid w:val="00C30740"/>
    <w:rsid w:val="00C62009"/>
    <w:rsid w:val="00CA3760"/>
    <w:rsid w:val="00CD0CFB"/>
    <w:rsid w:val="00D2296E"/>
    <w:rsid w:val="00D32B84"/>
    <w:rsid w:val="00D35CFD"/>
    <w:rsid w:val="00D45590"/>
    <w:rsid w:val="00D50744"/>
    <w:rsid w:val="00D60F19"/>
    <w:rsid w:val="00D901DC"/>
    <w:rsid w:val="00D91293"/>
    <w:rsid w:val="00DA2E17"/>
    <w:rsid w:val="00DC0C84"/>
    <w:rsid w:val="00DD6447"/>
    <w:rsid w:val="00E33973"/>
    <w:rsid w:val="00E44065"/>
    <w:rsid w:val="00E616A7"/>
    <w:rsid w:val="00E76565"/>
    <w:rsid w:val="00E95175"/>
    <w:rsid w:val="00EC01FE"/>
    <w:rsid w:val="00ED57D0"/>
    <w:rsid w:val="00F01621"/>
    <w:rsid w:val="00F12D99"/>
    <w:rsid w:val="00F46D4A"/>
    <w:rsid w:val="00FC59BE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63</cp:revision>
  <dcterms:created xsi:type="dcterms:W3CDTF">2023-03-01T12:37:00Z</dcterms:created>
  <dcterms:modified xsi:type="dcterms:W3CDTF">2023-03-21T09:52:00Z</dcterms:modified>
</cp:coreProperties>
</file>