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EF53" w14:textId="77777777" w:rsidR="00A54BAA" w:rsidRPr="00913D0E" w:rsidRDefault="00A54BAA" w:rsidP="003A10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D0E">
        <w:rPr>
          <w:rFonts w:ascii="Times New Roman" w:hAnsi="Times New Roman" w:cs="Times New Roman"/>
          <w:b/>
          <w:sz w:val="24"/>
          <w:szCs w:val="24"/>
        </w:rPr>
        <w:t>PROJEKTNI ZADATAK</w:t>
      </w:r>
    </w:p>
    <w:p w14:paraId="3A2309A9" w14:textId="77777777" w:rsidR="00A54BAA" w:rsidRPr="00D64A1A" w:rsidRDefault="00A54BAA" w:rsidP="003A1011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7852FEBB" w14:textId="65217B44" w:rsidR="00A54BAA" w:rsidRPr="00852785" w:rsidRDefault="001D6DCA" w:rsidP="000C2F71">
      <w:pPr>
        <w:jc w:val="both"/>
        <w:rPr>
          <w:rFonts w:ascii="Times New Roman" w:hAnsi="Times New Roman"/>
          <w:sz w:val="24"/>
        </w:rPr>
      </w:pPr>
      <w:r w:rsidRPr="00852785">
        <w:rPr>
          <w:rFonts w:ascii="Times New Roman" w:hAnsi="Times New Roman" w:cs="Times New Roman"/>
          <w:b/>
          <w:sz w:val="24"/>
          <w:szCs w:val="24"/>
        </w:rPr>
        <w:t>za</w:t>
      </w:r>
      <w:r w:rsidRPr="00852785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usluge</w:t>
      </w:r>
      <w:r w:rsidR="000C2F71" w:rsidRPr="00852785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</w:t>
      </w:r>
      <w:r w:rsidRPr="00852785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upravljanja projektom gradnje i tehničke pomoći</w:t>
      </w:r>
      <w:r w:rsidR="000C2F71" w:rsidRPr="00852785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</w:t>
      </w:r>
      <w:r w:rsidRPr="00852785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za potrebe provedbe projekta „</w:t>
      </w:r>
      <w:r w:rsidR="000C2F71" w:rsidRPr="00852785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R</w:t>
      </w:r>
      <w:r w:rsidRPr="00852785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ekonstrukcija, dogradnja i opremanje </w:t>
      </w:r>
      <w:r w:rsidR="000C2F71" w:rsidRPr="00852785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O</w:t>
      </w:r>
      <w:r w:rsidRPr="00852785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snovne škole </w:t>
      </w:r>
      <w:r w:rsidR="00C63277" w:rsidRPr="00852785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Fran Krsto Frankopan</w:t>
      </w:r>
      <w:r w:rsidRPr="00852785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“</w:t>
      </w:r>
    </w:p>
    <w:p w14:paraId="2303502F" w14:textId="77777777" w:rsidR="00AF37C8" w:rsidRPr="00852785" w:rsidRDefault="00AF37C8" w:rsidP="003C3C91">
      <w:pPr>
        <w:spacing w:line="260" w:lineRule="exact"/>
        <w:ind w:left="138" w:right="63"/>
        <w:jc w:val="center"/>
        <w:rPr>
          <w:rFonts w:ascii="Times New Roman" w:hAnsi="Times New Roman" w:cs="Times New Roman"/>
          <w:sz w:val="24"/>
          <w:szCs w:val="24"/>
        </w:rPr>
      </w:pPr>
    </w:p>
    <w:p w14:paraId="0183B7EF" w14:textId="37EBE5E7" w:rsidR="002D048A" w:rsidRPr="00852785" w:rsidRDefault="002D048A" w:rsidP="002D048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Predmet nabave su usluge </w:t>
      </w:r>
      <w:r w:rsidR="004340B3" w:rsidRPr="00852785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upravljanja projektom gradnje i tehničke pomoći za potrebe provedbe projekta „Rekonstrukcija, dogradnja i opremanje</w:t>
      </w:r>
      <w:r w:rsidR="004340B3"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</w:t>
      </w:r>
      <w:r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Osnovne škole </w:t>
      </w:r>
      <w:r w:rsidR="00EA2583"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Fran Krsto Frankopan</w:t>
      </w:r>
      <w:r w:rsidR="004340B3"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“</w:t>
      </w:r>
      <w:r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u </w:t>
      </w:r>
      <w:r w:rsidR="00EA2583"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Osijeku</w:t>
      </w:r>
      <w:r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, na adresi </w:t>
      </w:r>
      <w:r w:rsidR="00EA2583"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Frankopanska 64</w:t>
      </w:r>
      <w:r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, k.č.br. </w:t>
      </w:r>
      <w:r w:rsidR="00852785"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9260/47</w:t>
      </w:r>
      <w:r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k.o. </w:t>
      </w:r>
      <w:r w:rsidR="00852785"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Osijek</w:t>
      </w:r>
      <w:r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, a prema Građevinskoj dozvoli Grada Osijeka, Upravnog odjela za prostorno uređenje, graditeljstvo i zaštitu okoliša, KLASA: UP/I-361-03/25-01/000</w:t>
      </w:r>
      <w:r w:rsidR="00852785"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302</w:t>
      </w:r>
      <w:r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, URBROJ: 2158-1-17-02/3-2</w:t>
      </w:r>
      <w:r w:rsidR="00852785"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6</w:t>
      </w:r>
      <w:r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-001</w:t>
      </w:r>
      <w:r w:rsidR="00852785"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9</w:t>
      </w:r>
      <w:r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 od </w:t>
      </w:r>
      <w:r w:rsidR="00852785"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29</w:t>
      </w:r>
      <w:r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.</w:t>
      </w:r>
      <w:r w:rsidR="00852785"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0</w:t>
      </w:r>
      <w:r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1.202</w:t>
      </w:r>
      <w:r w:rsidR="00852785"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>6</w:t>
      </w:r>
      <w:r w:rsidRPr="00852785">
        <w:rPr>
          <w:rFonts w:ascii="Times New Roman" w:hAnsi="Times New Roman" w:cs="Times New Roman"/>
          <w:iCs/>
          <w:sz w:val="24"/>
          <w:szCs w:val="24"/>
          <w:lang w:eastAsia="en-US"/>
        </w:rPr>
        <w:t xml:space="preserve">. </w:t>
      </w:r>
    </w:p>
    <w:p w14:paraId="3534067E" w14:textId="77777777" w:rsidR="002D048A" w:rsidRPr="007B5139" w:rsidRDefault="002D048A" w:rsidP="002D04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7E9F23B" w14:textId="083F213B" w:rsidR="002D048A" w:rsidRPr="007B5139" w:rsidRDefault="002D048A" w:rsidP="002D04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B5139">
        <w:rPr>
          <w:rFonts w:ascii="Times New Roman" w:hAnsi="Times New Roman" w:cs="Times New Roman"/>
          <w:sz w:val="24"/>
          <w:szCs w:val="24"/>
          <w:lang w:eastAsia="en-US"/>
        </w:rPr>
        <w:t>Kako bi se omogućio rad škole u jednoj smjeni projektom je predviđen</w:t>
      </w:r>
      <w:r w:rsidR="007B5139" w:rsidRPr="007B5139">
        <w:rPr>
          <w:rFonts w:ascii="Times New Roman" w:hAnsi="Times New Roman" w:cs="Times New Roman"/>
          <w:sz w:val="24"/>
          <w:szCs w:val="24"/>
          <w:lang w:eastAsia="en-US"/>
        </w:rPr>
        <w:t>a dogradnja tri učionice s blagovaonicom i sanitarnim čvorovima te male školske sportske dvorane sa svlačionicama i sanitarnim čvorovima</w:t>
      </w:r>
      <w:r w:rsidRPr="007B5139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54FE9A56" w14:textId="77777777" w:rsidR="002D048A" w:rsidRPr="007B5139" w:rsidRDefault="002D048A" w:rsidP="002D04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B5139">
        <w:rPr>
          <w:rFonts w:ascii="Times New Roman" w:hAnsi="Times New Roman" w:cs="Times New Roman"/>
          <w:sz w:val="24"/>
          <w:szCs w:val="24"/>
          <w:lang w:eastAsia="en-US"/>
        </w:rPr>
        <w:t xml:space="preserve">Rekonstrukcija zgrade obuhvaća: </w:t>
      </w:r>
    </w:p>
    <w:p w14:paraId="5CA689C7" w14:textId="03375EB2" w:rsidR="007B5139" w:rsidRDefault="007B5139" w:rsidP="007B513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7B5139">
        <w:rPr>
          <w:rFonts w:ascii="Times New Roman" w:hAnsi="Times New Roman" w:cs="Times New Roman"/>
          <w:sz w:val="24"/>
          <w:szCs w:val="24"/>
          <w:lang w:eastAsia="en-US"/>
        </w:rPr>
        <w:t xml:space="preserve">Planirana dogradnja izvesti će se uz sjevernu postojeću zgradu škole i prostire se u smjeru sjeverozapad-jugoistok prema stražnjem dvorištu i čini je jedna etaža – prizemlje. </w:t>
      </w:r>
      <w:r w:rsidRPr="007B5139">
        <w:rPr>
          <w:rFonts w:ascii="Times New Roman" w:eastAsia="ArialMT" w:hAnsi="Times New Roman" w:cs="Times New Roman"/>
          <w:sz w:val="24"/>
          <w:szCs w:val="24"/>
          <w:lang w:eastAsia="en-US"/>
        </w:rPr>
        <w:t>Postojeći dio građevine ostaje nepromijenjen. U nastavku stražnjeg izlaza iz sjeverne zgrade smješta se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7B5139">
        <w:rPr>
          <w:rFonts w:ascii="Times New Roman" w:eastAsia="ArialMT" w:hAnsi="Times New Roman" w:cs="Times New Roman"/>
          <w:sz w:val="24"/>
          <w:szCs w:val="24"/>
          <w:lang w:eastAsia="en-US"/>
        </w:rPr>
        <w:t>nova dogradnja gdje se prostire novi učionički trakt sa tri učionice u prizemlju. U nastavku učioničkog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7B5139">
        <w:rPr>
          <w:rFonts w:ascii="Times New Roman" w:eastAsia="ArialMT" w:hAnsi="Times New Roman" w:cs="Times New Roman"/>
          <w:sz w:val="24"/>
          <w:szCs w:val="24"/>
          <w:lang w:eastAsia="en-US"/>
        </w:rPr>
        <w:t>trakta u prizemlju smješta se nova mala sportska dvorana sa pratećim sadržajem i blagovaonicom.</w:t>
      </w:r>
    </w:p>
    <w:p w14:paraId="5B36B0F7" w14:textId="66788714" w:rsidR="007B5139" w:rsidRDefault="007B5139" w:rsidP="00936E5C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7B5139">
        <w:rPr>
          <w:rFonts w:ascii="Times New Roman" w:eastAsia="ArialMT" w:hAnsi="Times New Roman" w:cs="Times New Roman"/>
          <w:sz w:val="24"/>
          <w:szCs w:val="24"/>
          <w:lang w:eastAsia="en-US"/>
        </w:rPr>
        <w:t>Dograđeni dio je približno pravokutnog oblika maksimalnih vanjskih dimenzija 50,18x17,45 m i visine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7B5139">
        <w:rPr>
          <w:rFonts w:ascii="Times New Roman" w:eastAsia="ArialMT" w:hAnsi="Times New Roman" w:cs="Times New Roman"/>
          <w:sz w:val="24"/>
          <w:szCs w:val="24"/>
          <w:lang w:eastAsia="en-US"/>
        </w:rPr>
        <w:t>jedne etaže- prizemlje. Sastoji se od dva visinski različita dijela. Niži dio građevine - svijetle visine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7B5139">
        <w:rPr>
          <w:rFonts w:ascii="Times New Roman" w:eastAsia="ArialMT" w:hAnsi="Times New Roman" w:cs="Times New Roman"/>
          <w:sz w:val="24"/>
          <w:szCs w:val="24"/>
          <w:lang w:eastAsia="en-US"/>
        </w:rPr>
        <w:t>prizemlja do pod krovnu ploču (učionice i blagovaonica) je 3,30 m a viši dio građevine –dvorana je visina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7B5139">
        <w:rPr>
          <w:rFonts w:ascii="Times New Roman" w:eastAsia="ArialMT" w:hAnsi="Times New Roman" w:cs="Times New Roman"/>
          <w:sz w:val="24"/>
          <w:szCs w:val="24"/>
          <w:lang w:eastAsia="en-US"/>
        </w:rPr>
        <w:t>do pod krovnu gredu je 5,00 m. Krov je na dvije vode nad dvoranom sa krovnim pokrovom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7B5139">
        <w:rPr>
          <w:rFonts w:ascii="Times New Roman" w:eastAsia="ArialMT" w:hAnsi="Times New Roman" w:cs="Times New Roman"/>
          <w:sz w:val="24"/>
          <w:szCs w:val="24"/>
          <w:lang w:eastAsia="en-US"/>
        </w:rPr>
        <w:t>termopanelom</w:t>
      </w:r>
      <w:proofErr w:type="spellEnd"/>
      <w:r w:rsidRPr="007B5139">
        <w:rPr>
          <w:rFonts w:ascii="Times New Roman" w:eastAsia="ArialMT" w:hAnsi="Times New Roman" w:cs="Times New Roman"/>
          <w:sz w:val="24"/>
          <w:szCs w:val="24"/>
          <w:lang w:eastAsia="en-US"/>
        </w:rPr>
        <w:t>, panel sa kamenom vunom debljine d=18 cm, a nagib krovnih ploha je 10%. Krov nižeg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7B5139">
        <w:rPr>
          <w:rFonts w:ascii="Times New Roman" w:eastAsia="ArialMT" w:hAnsi="Times New Roman" w:cs="Times New Roman"/>
          <w:sz w:val="24"/>
          <w:szCs w:val="24"/>
          <w:lang w:eastAsia="en-US"/>
        </w:rPr>
        <w:t>dijela iznad učionica i blagovaonice je ravni, a završni sloj je hidroizolacija na betonu koji je u nagibu.</w:t>
      </w:r>
      <w:r w:rsidR="00936E5C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Viši dio građevine projektiran je kao </w:t>
      </w:r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montažna armirano betonska konstrukcija. Niži dio konstrukcije uz postojeću građevinu</w:t>
      </w:r>
      <w:r w:rsidR="00936E5C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izvodi se kao monolitni sa horizontalnom konstrukcija-strop</w:t>
      </w:r>
      <w:r w:rsidR="00936E5C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prizemlja je monolitna </w:t>
      </w:r>
      <w:proofErr w:type="spellStart"/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ab</w:t>
      </w:r>
      <w:proofErr w:type="spellEnd"/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ploča debljine 15cm koja se oslanjana na nosive zidane zidove, </w:t>
      </w:r>
      <w:proofErr w:type="spellStart"/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ab</w:t>
      </w:r>
      <w:proofErr w:type="spellEnd"/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grede i</w:t>
      </w:r>
      <w:r w:rsidR="00936E5C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stupove. Nosivi zidovi su od opeke debljine 25cm uokvireni vertikalnim i horizontalnim </w:t>
      </w:r>
      <w:proofErr w:type="spellStart"/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serklažima</w:t>
      </w:r>
      <w:proofErr w:type="spellEnd"/>
      <w:r w:rsidR="00936E5C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dimenzija 25/25cm. S druge strane oslanja se na montažnu OT 60 gredu koja ima </w:t>
      </w:r>
      <w:proofErr w:type="spellStart"/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konzolni</w:t>
      </w:r>
      <w:proofErr w:type="spellEnd"/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istak</w:t>
      </w:r>
      <w:proofErr w:type="spellEnd"/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i</w:t>
      </w:r>
      <w:r w:rsidR="00936E5C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ostavljene nastavke za spoj sa </w:t>
      </w:r>
      <w:proofErr w:type="spellStart"/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ab</w:t>
      </w:r>
      <w:proofErr w:type="spellEnd"/>
      <w:r w:rsidR="00936E5C"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pločom.</w:t>
      </w:r>
    </w:p>
    <w:p w14:paraId="33043A84" w14:textId="3F6CF4C1" w:rsidR="00936E5C" w:rsidRPr="00936E5C" w:rsidRDefault="00936E5C" w:rsidP="00936E5C">
      <w:pPr>
        <w:autoSpaceDE w:val="0"/>
        <w:autoSpaceDN w:val="0"/>
        <w:adjustRightInd w:val="0"/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</w:pPr>
      <w:r w:rsidRPr="00936E5C"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  <w:t>Instalacija grijanja i hlađenja</w:t>
      </w:r>
    </w:p>
    <w:p w14:paraId="753B7B9F" w14:textId="23D26B81" w:rsidR="00936E5C" w:rsidRDefault="00936E5C" w:rsidP="00936E5C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Za potrebe grijanja/hlađenja građevine ugraditi će se dizali</w:t>
      </w:r>
      <w:r w:rsidRPr="00936E5C">
        <w:rPr>
          <w:rFonts w:ascii="Times New Roman" w:eastAsiaTheme="minorHAnsi" w:hAnsi="Times New Roman" w:cs="Times New Roman"/>
          <w:sz w:val="24"/>
          <w:szCs w:val="24"/>
          <w:lang w:eastAsia="en-US"/>
        </w:rPr>
        <w:t>ca topline zrak/voda.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Kao rashladno/ogrjevno medij koristit će se voda.</w:t>
      </w:r>
    </w:p>
    <w:p w14:paraId="2873AA56" w14:textId="2B19B498" w:rsidR="00936E5C" w:rsidRPr="00936E5C" w:rsidRDefault="00936E5C" w:rsidP="00936E5C">
      <w:pPr>
        <w:autoSpaceDE w:val="0"/>
        <w:autoSpaceDN w:val="0"/>
        <w:adjustRightInd w:val="0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Za potrebe ventilacije škole od uređaja za ventilaciju ugradit će se: 2 vanjske klima komore za potrebe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ventilacije učionica i dvorane.</w:t>
      </w:r>
    </w:p>
    <w:p w14:paraId="41BEC654" w14:textId="3DE179DB" w:rsidR="00936E5C" w:rsidRPr="00936E5C" w:rsidRDefault="00936E5C" w:rsidP="00936E5C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Kako bi se osigurali zdravstveno-higijenskih zahtjevi ovim projektom predviđena je ugradnja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sustava prisilne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ventilacije. Provjetravanje građevine je prisilno i prirodno zavisno od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namjene i položaja unutar građevine.</w:t>
      </w:r>
    </w:p>
    <w:p w14:paraId="4ECB5D9B" w14:textId="77777777" w:rsidR="00936E5C" w:rsidRPr="00936E5C" w:rsidRDefault="00936E5C" w:rsidP="00936E5C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Prisilna ventilacija u građevini će se ugrađivati u:</w:t>
      </w:r>
    </w:p>
    <w:p w14:paraId="6AD2DC05" w14:textId="77777777" w:rsidR="00936E5C" w:rsidRPr="00936E5C" w:rsidRDefault="00936E5C" w:rsidP="00936E5C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o Ventilacija škole– sustav s povratom topline preko vanjske klima komore</w:t>
      </w:r>
    </w:p>
    <w:p w14:paraId="62FAEAD9" w14:textId="364FAE6B" w:rsidR="00936E5C" w:rsidRPr="00936E5C" w:rsidRDefault="00936E5C" w:rsidP="00936E5C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o Ventilacija dvorane – sustav s povratom topline preko vanjske klima komore</w:t>
      </w:r>
    </w:p>
    <w:p w14:paraId="4BEC23EE" w14:textId="77777777" w:rsidR="00936E5C" w:rsidRPr="00936E5C" w:rsidRDefault="00936E5C" w:rsidP="00936E5C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936E5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Priprema PTV-a-</w:t>
      </w:r>
    </w:p>
    <w:p w14:paraId="05330581" w14:textId="7CE4D130" w:rsidR="00936E5C" w:rsidRDefault="00936E5C" w:rsidP="00936E5C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936E5C">
        <w:rPr>
          <w:rFonts w:ascii="Times New Roman" w:eastAsiaTheme="minorHAnsi" w:hAnsi="Times New Roman" w:cs="Times New Roman"/>
          <w:sz w:val="24"/>
          <w:szCs w:val="24"/>
          <w:lang w:eastAsia="en-US"/>
        </w:rPr>
        <w:t>Priprema PTV-</w:t>
      </w:r>
      <w:r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a će biti pomoću zasebne dizalice topline sa spremnikom PTV pojedinačnog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936E5C">
        <w:rPr>
          <w:rFonts w:ascii="Times New Roman" w:eastAsia="ArialMT" w:hAnsi="Times New Roman" w:cs="Times New Roman"/>
          <w:sz w:val="24"/>
          <w:szCs w:val="24"/>
          <w:lang w:eastAsia="en-US"/>
        </w:rPr>
        <w:t>volumena 240 lit.</w:t>
      </w:r>
    </w:p>
    <w:p w14:paraId="74E4C1D2" w14:textId="3A3C9269" w:rsidR="00AD6581" w:rsidRPr="00AD6581" w:rsidRDefault="00AD6581" w:rsidP="00AD6581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AD6581">
        <w:rPr>
          <w:rFonts w:ascii="Times New Roman" w:eastAsia="ArialMT" w:hAnsi="Times New Roman" w:cs="Times New Roman"/>
          <w:sz w:val="24"/>
          <w:szCs w:val="24"/>
          <w:lang w:eastAsia="en-US"/>
        </w:rPr>
        <w:lastRenderedPageBreak/>
        <w:t>Za vodoopskrbu predmetne građevine izvesti će se spoj na postojeći vodovodni priključak za opskrbu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AD6581">
        <w:rPr>
          <w:rFonts w:ascii="Times New Roman" w:eastAsia="ArialMT" w:hAnsi="Times New Roman" w:cs="Times New Roman"/>
          <w:sz w:val="24"/>
          <w:szCs w:val="24"/>
          <w:lang w:eastAsia="en-US"/>
        </w:rPr>
        <w:t>sanitarnom hladnom i požarnom vodom.</w:t>
      </w:r>
    </w:p>
    <w:p w14:paraId="06EC84F0" w14:textId="77777777" w:rsidR="00AD6581" w:rsidRDefault="00AD6581" w:rsidP="00AD6581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AD6581">
        <w:rPr>
          <w:rFonts w:ascii="Times New Roman" w:eastAsia="ArialMT" w:hAnsi="Times New Roman" w:cs="Times New Roman"/>
          <w:sz w:val="24"/>
          <w:szCs w:val="24"/>
          <w:lang w:eastAsia="en-US"/>
        </w:rPr>
        <w:t>Odvodnja sanitarno – fekalnih voda izvest će se spojem na postojeći razvod kanalizacije na parceli.</w:t>
      </w:r>
    </w:p>
    <w:p w14:paraId="0CE0F01A" w14:textId="73621974" w:rsidR="00871247" w:rsidRPr="00871247" w:rsidRDefault="00871247" w:rsidP="00871247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Projektiranom kanalizacijskom mrežom unutar građevine riješen je odvod sanitarno-fekalnih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voda iz iste,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a izvesti će se:</w:t>
      </w:r>
    </w:p>
    <w:p w14:paraId="2C67BB83" w14:textId="77777777" w:rsidR="00871247" w:rsidRPr="00871247" w:rsidRDefault="00871247" w:rsidP="00871247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-kanalizacijske vertikale sanitarne i fekalne kanalizacije PP </w:t>
      </w:r>
      <w:proofErr w:type="spellStart"/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niskošumnim</w:t>
      </w:r>
      <w:proofErr w:type="spellEnd"/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cijevima ,</w:t>
      </w:r>
    </w:p>
    <w:p w14:paraId="22914E8F" w14:textId="77777777" w:rsidR="00871247" w:rsidRPr="00871247" w:rsidRDefault="00871247" w:rsidP="00871247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-kanalizacijski razvod od sanitarnih uređaja, PP cijevima za kućnu kanalizaciju</w:t>
      </w:r>
    </w:p>
    <w:p w14:paraId="3B7F7FBE" w14:textId="77777777" w:rsidR="00871247" w:rsidRPr="00871247" w:rsidRDefault="00871247" w:rsidP="00871247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-temeljni razvod unutar objekta, PVC cijevima klase SN4</w:t>
      </w:r>
    </w:p>
    <w:p w14:paraId="41335D77" w14:textId="255473EB" w:rsidR="00871247" w:rsidRPr="00871247" w:rsidRDefault="00871247" w:rsidP="00871247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-vanjski razvod po prometnim površinama, PVC cijevima klase SN8</w:t>
      </w:r>
    </w:p>
    <w:p w14:paraId="6FB95A9B" w14:textId="1102E41F" w:rsidR="00AD6581" w:rsidRDefault="00AD6581" w:rsidP="00AD6581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AD6581">
        <w:rPr>
          <w:rFonts w:ascii="Times New Roman" w:eastAsia="ArialMT" w:hAnsi="Times New Roman" w:cs="Times New Roman"/>
          <w:sz w:val="24"/>
          <w:szCs w:val="24"/>
          <w:lang w:eastAsia="en-US"/>
        </w:rPr>
        <w:t>Oborinske vode ispuštaju se djelomično na teren investitora, a djelomično nakon zadržavanja u retenciji u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AD6581">
        <w:rPr>
          <w:rFonts w:ascii="Times New Roman" w:eastAsia="ArialMT" w:hAnsi="Times New Roman" w:cs="Times New Roman"/>
          <w:sz w:val="24"/>
          <w:szCs w:val="24"/>
          <w:lang w:eastAsia="en-US"/>
        </w:rPr>
        <w:t>sustav ulične kanalizacije.</w:t>
      </w:r>
    </w:p>
    <w:p w14:paraId="44E0BFD7" w14:textId="77777777" w:rsidR="00871247" w:rsidRPr="00871247" w:rsidRDefault="00871247" w:rsidP="00871247">
      <w:pPr>
        <w:autoSpaceDE w:val="0"/>
        <w:autoSpaceDN w:val="0"/>
        <w:adjustRightInd w:val="0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PROJEKT ELEKTROTEHNIČKIH INSTALACIJA</w:t>
      </w:r>
    </w:p>
    <w:p w14:paraId="56C25492" w14:textId="08BBD678" w:rsidR="00871247" w:rsidRPr="00871247" w:rsidRDefault="00871247" w:rsidP="00871247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Priključak na NN mrežu je postojeći te se izvodi promjena postojećih uvjeta priključenja prema HEP-u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objekta obzirom na dogradnju – povećanje potrebne vršne priključne snage te ugradnja fotonaponske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elektrane na krovu dograđenog dijela.</w:t>
      </w:r>
    </w:p>
    <w:p w14:paraId="3521156F" w14:textId="5F244C82" w:rsidR="00871247" w:rsidRPr="00871247" w:rsidRDefault="00871247" w:rsidP="00871247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Za priključak i razvod el. instalacija potrebno je izmijeniti postojeće el. brojilo sa dvosmjernim el. brojilom s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obzirom na proizvodnu sunčanu elektranu te uskladiti priključak prema rješenju HEP-a i priloženim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potrebama za povećanje vršne snage.</w:t>
      </w:r>
    </w:p>
    <w:p w14:paraId="232A4BC0" w14:textId="77DF55A3" w:rsidR="00871247" w:rsidRPr="00871247" w:rsidRDefault="00871247" w:rsidP="00871247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Dogradnjom novog dijela škole se </w:t>
      </w:r>
      <w:proofErr w:type="spellStart"/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izmješta</w:t>
      </w:r>
      <w:proofErr w:type="spellEnd"/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postojeće priključno mjerno mjesto na novu poziciju, u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okviru samostojećeg priključnog mjernog ormara oznake SPMO-MG.</w:t>
      </w:r>
    </w:p>
    <w:p w14:paraId="28A8D7C6" w14:textId="77777777" w:rsidR="00871247" w:rsidRPr="00871247" w:rsidRDefault="00871247" w:rsidP="00871247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Postojeća zgrada napaja se iz 1TS1278 OSIJEK 239/Izvod: </w:t>
      </w:r>
      <w:proofErr w:type="spellStart"/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Odlaz</w:t>
      </w:r>
      <w:proofErr w:type="spellEnd"/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u S.K.O. M. </w:t>
      </w:r>
      <w:proofErr w:type="spellStart"/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Divalta</w:t>
      </w:r>
      <w:proofErr w:type="spellEnd"/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67.</w:t>
      </w:r>
    </w:p>
    <w:p w14:paraId="41622862" w14:textId="6D609A42" w:rsidR="00871247" w:rsidRPr="00871247" w:rsidRDefault="00871247" w:rsidP="00871247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Mjesto predaje preuzimanje energije je samostojeći priključni mjerni ormar SPMO-MG, a sve prema izdanoj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elektroenegetskoj</w:t>
      </w:r>
      <w:proofErr w:type="spellEnd"/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suglasnosti br. 4008-70281651-100008488 izdane dana 27.11.2024. godine.</w:t>
      </w:r>
    </w:p>
    <w:p w14:paraId="46FDF63E" w14:textId="4DF6D1B5" w:rsidR="00871247" w:rsidRPr="00871247" w:rsidRDefault="00871247" w:rsidP="00871247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Od SPMO ormara do postojećeg razvodnog ormara škole potrebno je položiti novi </w:t>
      </w:r>
      <w:proofErr w:type="spellStart"/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napojni</w:t>
      </w:r>
      <w:proofErr w:type="spellEnd"/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kabel.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S obzirom na novu priključnu snagu od 115,94 kV i za buduće rezerve, položiti će se </w:t>
      </w:r>
      <w:proofErr w:type="spellStart"/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napojni</w:t>
      </w:r>
      <w:proofErr w:type="spellEnd"/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kabel NYY-J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4x120+70mm2.</w:t>
      </w:r>
    </w:p>
    <w:p w14:paraId="22F67F0C" w14:textId="17DC8716" w:rsidR="00871247" w:rsidRPr="00871247" w:rsidRDefault="00871247" w:rsidP="00871247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871247">
        <w:rPr>
          <w:rFonts w:ascii="Times New Roman" w:eastAsia="ArialMT" w:hAnsi="Times New Roman" w:cs="Times New Roman"/>
          <w:sz w:val="24"/>
          <w:szCs w:val="24"/>
          <w:lang w:eastAsia="en-US"/>
        </w:rPr>
        <w:t>Glavni razvodni ormar dogradnje napojiti će se iz postojećeg glavnog razvodnog ormara škole.</w:t>
      </w:r>
    </w:p>
    <w:p w14:paraId="141DD558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PROJEKT SUSTAVA ZA DOJAVU POŽARA</w:t>
      </w:r>
    </w:p>
    <w:p w14:paraId="4730168F" w14:textId="12C7A523" w:rsidR="00871247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Predmet ovog projekta je sustav za dojavu požara . U građevini se instalira sustav za automatsku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dojavu požara koji će objedinjavati sve zaštitne funkcije za dojavu požara.</w:t>
      </w:r>
    </w:p>
    <w:p w14:paraId="48C8FCB3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Sustav za dojavu požara se sastoji od slijedećih elemenata:</w:t>
      </w:r>
    </w:p>
    <w:p w14:paraId="6193332C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proofErr w:type="spellStart"/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adresabilne</w:t>
      </w:r>
      <w:proofErr w:type="spellEnd"/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centrale sustava za dojavu požara,</w:t>
      </w:r>
    </w:p>
    <w:p w14:paraId="671EF826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digitalnog telefonskog dojavnika,</w:t>
      </w:r>
    </w:p>
    <w:p w14:paraId="2A22A97D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optičkih </w:t>
      </w:r>
      <w:proofErr w:type="spellStart"/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adresablinih</w:t>
      </w:r>
      <w:proofErr w:type="spellEnd"/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javljača požara,</w:t>
      </w:r>
    </w:p>
    <w:p w14:paraId="0ECCF887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optičko-termičkih javljača požara,</w:t>
      </w:r>
    </w:p>
    <w:p w14:paraId="68671DE5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izvršnih modula-</w:t>
      </w:r>
      <w:proofErr w:type="spellStart"/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transpondera</w:t>
      </w:r>
      <w:proofErr w:type="spellEnd"/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(input / output),</w:t>
      </w:r>
    </w:p>
    <w:p w14:paraId="56F2C5A3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signalnih-alarmnih elemenata (sirene, bljeskalice),</w:t>
      </w:r>
    </w:p>
    <w:p w14:paraId="3A94EA30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proofErr w:type="spellStart"/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Paralernog</w:t>
      </w:r>
      <w:proofErr w:type="spellEnd"/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tabloa</w:t>
      </w:r>
      <w:proofErr w:type="spellEnd"/>
    </w:p>
    <w:p w14:paraId="7DE90375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izolatora petlje,</w:t>
      </w:r>
    </w:p>
    <w:p w14:paraId="6F369F67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električne instalacije i</w:t>
      </w:r>
    </w:p>
    <w:p w14:paraId="701381CE" w14:textId="1D8E3505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SymbolMT" w:hAnsi="Times New Roman" w:cs="Times New Roman"/>
          <w:sz w:val="24"/>
          <w:szCs w:val="24"/>
          <w:lang w:eastAsia="en-US"/>
        </w:rPr>
        <w:t xml:space="preserve">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izvora napajanja.</w:t>
      </w:r>
    </w:p>
    <w:p w14:paraId="6DE0352E" w14:textId="77777777" w:rsidR="00125E89" w:rsidRDefault="00125E89" w:rsidP="00125E89">
      <w:pPr>
        <w:autoSpaceDE w:val="0"/>
        <w:autoSpaceDN w:val="0"/>
        <w:adjustRightInd w:val="0"/>
        <w:jc w:val="both"/>
        <w:rPr>
          <w:rFonts w:ascii="Arial" w:eastAsia="ArialMT" w:hAnsi="Arial"/>
          <w:lang w:eastAsia="en-US"/>
        </w:rPr>
      </w:pPr>
    </w:p>
    <w:p w14:paraId="6DEAA7E2" w14:textId="77777777" w:rsidR="00125E89" w:rsidRPr="00125E89" w:rsidRDefault="00125E89" w:rsidP="00125E89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Theme="minorHAnsi" w:hAnsi="Times New Roman" w:cs="Times New Roman"/>
          <w:sz w:val="24"/>
          <w:szCs w:val="24"/>
          <w:lang w:eastAsia="en-US"/>
        </w:rPr>
        <w:t>PROJEKT FOTONAPONSKOG SUSTAVA</w:t>
      </w:r>
    </w:p>
    <w:p w14:paraId="3BC2BB4F" w14:textId="6EF6A7E3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Na krovu građevine potrebno je izgraditi dvije sunčane fotonaponsku elektranu, ukupne vršne snage cca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40,00 kW AC koje će proizvoditi električnu energiju pretežno za vlastitu potrošnju pripadnog objekta.</w:t>
      </w:r>
    </w:p>
    <w:p w14:paraId="7DA93665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</w:pPr>
      <w:r w:rsidRPr="00125E89"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  <w:t>Osnovne komponente sunčane elektrane:</w:t>
      </w:r>
    </w:p>
    <w:p w14:paraId="5F98C371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</w:pPr>
      <w:r w:rsidRPr="00125E89"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  <w:t>FN paneli</w:t>
      </w:r>
    </w:p>
    <w:p w14:paraId="2203F8DD" w14:textId="22F49D32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lastRenderedPageBreak/>
        <w:t xml:space="preserve">Za ugradnju su odabrani fotonaponski moduli nazivne snage 450 </w:t>
      </w:r>
      <w:proofErr w:type="spellStart"/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Wp</w:t>
      </w:r>
      <w:proofErr w:type="spellEnd"/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 kao </w:t>
      </w:r>
      <w:proofErr w:type="spellStart"/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TrinaSolar</w:t>
      </w:r>
      <w:proofErr w:type="spellEnd"/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 TSM-450 . Radi se o</w:t>
      </w:r>
      <w:r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standardnom energetskom fotonaponskom modulu sa 14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4 serijskih spojenih </w:t>
      </w:r>
      <w:proofErr w:type="spellStart"/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monokristaličnih</w:t>
      </w:r>
      <w:proofErr w:type="spellEnd"/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silicijskih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ćelija</w:t>
      </w:r>
    </w:p>
    <w:p w14:paraId="0D6EEE69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</w:pPr>
      <w:r w:rsidRPr="00125E89"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  <w:t>Pretvarač</w:t>
      </w:r>
    </w:p>
    <w:p w14:paraId="5C2C910E" w14:textId="4FC2BF46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Za ugradnju su odabrani fotonaponski moduli nazivne snage 450 </w:t>
      </w:r>
      <w:proofErr w:type="spellStart"/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Wp</w:t>
      </w:r>
      <w:proofErr w:type="spellEnd"/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 kao </w:t>
      </w:r>
      <w:proofErr w:type="spellStart"/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TrinaSolar</w:t>
      </w:r>
      <w:proofErr w:type="spellEnd"/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 TSM-450 . Radi se o</w:t>
      </w:r>
      <w:r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standardnom energetskom fotonaponskom modulu sa 144 serijskih spojenih </w:t>
      </w:r>
      <w:proofErr w:type="spellStart"/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monokristaličnih</w:t>
      </w:r>
      <w:proofErr w:type="spellEnd"/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s</w:t>
      </w: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ilicijskih</w:t>
      </w:r>
      <w:r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ćelija</w:t>
      </w:r>
    </w:p>
    <w:p w14:paraId="42382611" w14:textId="51EDE1F8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-Bold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Kod dimenzioniranja izmjenjivača za zadano fotonaponsko polje odabrani su izmjenjivači koji svojim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ulaznim naponskim i strujnim ograničenjima pokrivaju radno područje fotonaponskog polja u svim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uvjetima.</w:t>
      </w:r>
    </w:p>
    <w:p w14:paraId="7F194000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Projektiran je sljedeći inverter: 2 x inverter 15 kW AC</w:t>
      </w:r>
    </w:p>
    <w:p w14:paraId="06B93A70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</w:pPr>
      <w:r w:rsidRPr="00125E89"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  <w:t>DC kabeli</w:t>
      </w:r>
    </w:p>
    <w:p w14:paraId="2F1E7E25" w14:textId="3D6DC2F1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-Bold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Za razvod DC kabela, koriste se pripremljene spojne kutije na svakom modulu s postojećim izvodima i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pripremljenim tipskim konektorima.</w:t>
      </w:r>
    </w:p>
    <w:p w14:paraId="3FDA2416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</w:pPr>
      <w:r w:rsidRPr="00125E89"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  <w:t>AC kabeli</w:t>
      </w:r>
    </w:p>
    <w:p w14:paraId="56FA408A" w14:textId="4E81DB70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-Bold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Izlaz pretvarača elektrane spaja se na zaštitne elemente u spojnom ormaru kabelom s 5 bakrenih vodiča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od 16 </w:t>
      </w:r>
      <w:r w:rsidRPr="00125E89">
        <w:rPr>
          <w:rFonts w:ascii="Cambria Math" w:eastAsia="CambriaMath" w:hAnsi="Cambria Math" w:cs="Cambria Math"/>
          <w:sz w:val="24"/>
          <w:szCs w:val="24"/>
          <w:lang w:eastAsia="en-US"/>
        </w:rPr>
        <w:t>𝑚𝑚</w:t>
      </w:r>
      <w:r w:rsidRPr="00125E89">
        <w:rPr>
          <w:rFonts w:ascii="Times New Roman" w:eastAsia="CambriaMath" w:hAnsi="Times New Roman" w:cs="Times New Roman"/>
          <w:sz w:val="24"/>
          <w:szCs w:val="24"/>
          <w:lang w:eastAsia="en-US"/>
        </w:rPr>
        <w:t>2</w:t>
      </w: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, oznake FG160R16 5x16 </w:t>
      </w:r>
      <w:r w:rsidRPr="00125E89">
        <w:rPr>
          <w:rFonts w:ascii="Cambria Math" w:eastAsia="CambriaMath" w:hAnsi="Cambria Math" w:cs="Cambria Math"/>
          <w:sz w:val="24"/>
          <w:szCs w:val="24"/>
          <w:lang w:eastAsia="en-US"/>
        </w:rPr>
        <w:t>𝑚𝑚</w:t>
      </w:r>
      <w:r w:rsidRPr="00125E89">
        <w:rPr>
          <w:rFonts w:ascii="Times New Roman" w:eastAsia="CambriaMath" w:hAnsi="Times New Roman" w:cs="Times New Roman"/>
          <w:sz w:val="24"/>
          <w:szCs w:val="24"/>
          <w:lang w:eastAsia="en-US"/>
        </w:rPr>
        <w:t>2</w:t>
      </w: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. Izlazni kabel prema glavnom razvodnom ormaru objekta</w:t>
      </w:r>
      <w:r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GRSE spaja se kabelom s 5 bakrenih vodiča od 25 </w:t>
      </w:r>
      <w:r w:rsidRPr="00125E89">
        <w:rPr>
          <w:rFonts w:ascii="Cambria Math" w:eastAsia="CambriaMath" w:hAnsi="Cambria Math" w:cs="Cambria Math"/>
          <w:sz w:val="24"/>
          <w:szCs w:val="24"/>
          <w:lang w:eastAsia="en-US"/>
        </w:rPr>
        <w:t>𝑚𝑚</w:t>
      </w:r>
      <w:r w:rsidRPr="00125E89">
        <w:rPr>
          <w:rFonts w:ascii="Times New Roman" w:eastAsia="CambriaMath" w:hAnsi="Times New Roman" w:cs="Times New Roman"/>
          <w:sz w:val="24"/>
          <w:szCs w:val="24"/>
          <w:lang w:eastAsia="en-US"/>
        </w:rPr>
        <w:t>2</w:t>
      </w: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, oznake FG160R16 5x25 </w:t>
      </w:r>
      <w:r w:rsidRPr="00125E89">
        <w:rPr>
          <w:rFonts w:ascii="Cambria Math" w:eastAsia="CambriaMath" w:hAnsi="Cambria Math" w:cs="Cambria Math"/>
          <w:sz w:val="24"/>
          <w:szCs w:val="24"/>
          <w:lang w:eastAsia="en-US"/>
        </w:rPr>
        <w:t>𝑚𝑚</w:t>
      </w:r>
      <w:r w:rsidRPr="00125E89">
        <w:rPr>
          <w:rFonts w:ascii="Times New Roman" w:eastAsia="CambriaMath" w:hAnsi="Times New Roman" w:cs="Times New Roman"/>
          <w:sz w:val="24"/>
          <w:szCs w:val="24"/>
          <w:lang w:eastAsia="en-US"/>
        </w:rPr>
        <w:t>2</w:t>
      </w: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.</w:t>
      </w:r>
    </w:p>
    <w:p w14:paraId="598AD90E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</w:pPr>
      <w:proofErr w:type="spellStart"/>
      <w:r w:rsidRPr="00125E89"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  <w:t>Potkonstrukcija</w:t>
      </w:r>
      <w:proofErr w:type="spellEnd"/>
      <w:r w:rsidRPr="00125E89"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  <w:t xml:space="preserve"> za montažu fotonaponskih modula</w:t>
      </w:r>
    </w:p>
    <w:p w14:paraId="705019B1" w14:textId="2A085560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-BoldMT" w:hAnsi="Times New Roman" w:cs="Times New Roman"/>
          <w:sz w:val="24"/>
          <w:szCs w:val="24"/>
          <w:lang w:eastAsia="en-US"/>
        </w:rPr>
      </w:pPr>
      <w:proofErr w:type="spellStart"/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Potkonstrukcija</w:t>
      </w:r>
      <w:proofErr w:type="spellEnd"/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je za montažu za ravnu konstrukciju krova. Na nosač se polažu aluminijske šine i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učvršćuju pomoću odgovarajućih spojnica. Spojnice se fiksiraju direktno u bočne stranice vala trapeznog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lima, odgovarajućim vijcim</w:t>
      </w: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a.</w:t>
      </w:r>
    </w:p>
    <w:p w14:paraId="4BF6901D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-Bold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Masa konstrukcije i modula</w:t>
      </w:r>
    </w:p>
    <w:p w14:paraId="2BC4D831" w14:textId="5E214D0A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-Bold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Masa fotonaponskog modula tipa je cca 21 kg. Ukupna masa 80 modula iznosi oko 1.680,00 kg. Okvirna</w:t>
      </w:r>
      <w:r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masa </w:t>
      </w:r>
      <w:proofErr w:type="spellStart"/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potkonstrukcije</w:t>
      </w:r>
      <w:proofErr w:type="spellEnd"/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 procjenjuje se na oko 400,00 kg. Ukupna masa panela i </w:t>
      </w:r>
      <w:proofErr w:type="spellStart"/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potkonstrukcije</w:t>
      </w:r>
      <w:proofErr w:type="spellEnd"/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 je oko</w:t>
      </w:r>
      <w:r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2.080,00 kg.</w:t>
      </w:r>
    </w:p>
    <w:p w14:paraId="39A69A21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</w:pPr>
      <w:r w:rsidRPr="00125E89"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  <w:t>Priključni ormari (razdjelnice)</w:t>
      </w:r>
    </w:p>
    <w:p w14:paraId="3F5A3346" w14:textId="0402212E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-Bold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  <w:t xml:space="preserve">GRSE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je razdjelnica sunčane elektrane. AC izlazi iz svih invertera objedinit će se u odgovarajućem</w:t>
      </w:r>
      <w:r>
        <w:rPr>
          <w:rFonts w:ascii="Times New Roman" w:eastAsia="Arial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niskonaponskom ormaru GRSE .</w:t>
      </w:r>
    </w:p>
    <w:p w14:paraId="026DD1D6" w14:textId="77777777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</w:pPr>
      <w:r w:rsidRPr="00125E89">
        <w:rPr>
          <w:rFonts w:ascii="Times New Roman" w:eastAsia="Arial-BoldMT" w:hAnsi="Times New Roman" w:cs="Times New Roman"/>
          <w:b/>
          <w:bCs/>
          <w:sz w:val="24"/>
          <w:szCs w:val="24"/>
          <w:lang w:eastAsia="en-US"/>
        </w:rPr>
        <w:t>Priključak na EE instalaciju objekta</w:t>
      </w:r>
    </w:p>
    <w:p w14:paraId="75DD5241" w14:textId="32D64C93" w:rsidR="00125E89" w:rsidRPr="00125E89" w:rsidRDefault="00125E89" w:rsidP="00125E89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Priključak elektrane na mrežu jest na niskom naponu (NN), trofazan. Dakle</w:t>
      </w: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>, predmetna elektrana</w:t>
      </w:r>
      <w:r w:rsidRPr="00125E89">
        <w:rPr>
          <w:rFonts w:ascii="Times New Roman" w:eastAsia="Arial-BoldMT" w:hAnsi="Times New Roman" w:cs="Times New Roman"/>
          <w:sz w:val="24"/>
          <w:szCs w:val="24"/>
          <w:lang w:eastAsia="en-US"/>
        </w:rPr>
        <w:t xml:space="preserve"> </w:t>
      </w:r>
      <w:r w:rsidRPr="00125E89">
        <w:rPr>
          <w:rFonts w:ascii="Times New Roman" w:eastAsia="ArialMT" w:hAnsi="Times New Roman" w:cs="Times New Roman"/>
          <w:sz w:val="24"/>
          <w:szCs w:val="24"/>
          <w:lang w:eastAsia="en-US"/>
        </w:rPr>
        <w:t>priključuje se direktno na instalaciju kupca.</w:t>
      </w:r>
    </w:p>
    <w:p w14:paraId="728BB729" w14:textId="77777777" w:rsidR="00871247" w:rsidRPr="00125E89" w:rsidRDefault="00871247" w:rsidP="00AD6581">
      <w:pPr>
        <w:autoSpaceDE w:val="0"/>
        <w:autoSpaceDN w:val="0"/>
        <w:adjustRightInd w:val="0"/>
        <w:jc w:val="both"/>
        <w:rPr>
          <w:rFonts w:ascii="Times New Roman" w:eastAsia="ArialMT" w:hAnsi="Times New Roman" w:cs="Times New Roman"/>
          <w:sz w:val="24"/>
          <w:szCs w:val="24"/>
          <w:lang w:eastAsia="en-US"/>
        </w:rPr>
      </w:pPr>
    </w:p>
    <w:p w14:paraId="08DCCB6A" w14:textId="77777777" w:rsidR="00163AF0" w:rsidRPr="00125E89" w:rsidRDefault="00163AF0" w:rsidP="002D048A">
      <w:pPr>
        <w:pStyle w:val="Odlomakpopisa"/>
        <w:tabs>
          <w:tab w:val="left" w:pos="142"/>
        </w:tabs>
        <w:ind w:left="0"/>
        <w:jc w:val="both"/>
        <w:rPr>
          <w:b/>
          <w:sz w:val="24"/>
          <w:szCs w:val="24"/>
          <w:lang w:val="hr-HR"/>
        </w:rPr>
      </w:pPr>
    </w:p>
    <w:p w14:paraId="38DFBDBB" w14:textId="77777777" w:rsidR="004B6FA5" w:rsidRPr="00125E89" w:rsidRDefault="004B6FA5" w:rsidP="004B6FA5">
      <w:pPr>
        <w:pStyle w:val="Odlomakpopisa"/>
        <w:ind w:left="0"/>
        <w:rPr>
          <w:b/>
          <w:bCs/>
          <w:sz w:val="24"/>
          <w:szCs w:val="24"/>
          <w:lang w:val="hr-HR"/>
        </w:rPr>
      </w:pPr>
      <w:r w:rsidRPr="00125E89">
        <w:rPr>
          <w:b/>
          <w:bCs/>
          <w:sz w:val="24"/>
          <w:szCs w:val="24"/>
          <w:lang w:val="hr-HR"/>
        </w:rPr>
        <w:t>Obveze za izvršenje usluge predviđene su prijedlogom ugovora.</w:t>
      </w:r>
    </w:p>
    <w:p w14:paraId="22067587" w14:textId="77777777" w:rsidR="00163AF0" w:rsidRPr="00125E89" w:rsidRDefault="00163AF0" w:rsidP="004B6FA5">
      <w:pPr>
        <w:pStyle w:val="Odlomakpopisa"/>
        <w:ind w:left="0"/>
        <w:jc w:val="both"/>
        <w:rPr>
          <w:b/>
          <w:sz w:val="24"/>
          <w:szCs w:val="24"/>
          <w:lang w:val="hr-HR"/>
        </w:rPr>
      </w:pPr>
    </w:p>
    <w:p w14:paraId="029B6153" w14:textId="77777777" w:rsidR="00BC7C98" w:rsidRPr="00125E89" w:rsidRDefault="00BC7C98" w:rsidP="003A1011">
      <w:pPr>
        <w:pStyle w:val="Odlomakpopisa"/>
        <w:jc w:val="both"/>
        <w:rPr>
          <w:sz w:val="24"/>
          <w:szCs w:val="24"/>
          <w:lang w:val="hr-HR"/>
        </w:rPr>
      </w:pPr>
    </w:p>
    <w:p w14:paraId="07937443" w14:textId="2F84E8AA" w:rsidR="00826FC0" w:rsidRPr="00125E89" w:rsidRDefault="00826FC0" w:rsidP="003A101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5E89">
        <w:rPr>
          <w:rFonts w:ascii="Times New Roman" w:eastAsia="Times New Roman" w:hAnsi="Times New Roman" w:cs="Times New Roman"/>
          <w:sz w:val="24"/>
          <w:szCs w:val="24"/>
        </w:rPr>
        <w:t>U Osijeku</w:t>
      </w:r>
      <w:r w:rsidR="00EB6C06" w:rsidRPr="00125E8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25E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E89" w:rsidRPr="00125E89">
        <w:rPr>
          <w:rFonts w:ascii="Times New Roman" w:eastAsia="Times New Roman" w:hAnsi="Times New Roman" w:cs="Times New Roman"/>
          <w:sz w:val="24"/>
          <w:szCs w:val="24"/>
        </w:rPr>
        <w:t>4</w:t>
      </w:r>
      <w:r w:rsidR="00DA5F6D" w:rsidRPr="00125E8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25E89" w:rsidRPr="00125E89">
        <w:rPr>
          <w:rFonts w:ascii="Times New Roman" w:eastAsia="Times New Roman" w:hAnsi="Times New Roman" w:cs="Times New Roman"/>
          <w:sz w:val="24"/>
          <w:szCs w:val="24"/>
        </w:rPr>
        <w:t>ožujak</w:t>
      </w:r>
      <w:r w:rsidRPr="00125E89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E1BC0" w:rsidRPr="00125E8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25E89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26FC0" w:rsidRPr="00125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78696" w14:textId="77777777" w:rsidR="00ED17B8" w:rsidRDefault="00ED17B8" w:rsidP="007D1D25">
      <w:r>
        <w:separator/>
      </w:r>
    </w:p>
  </w:endnote>
  <w:endnote w:type="continuationSeparator" w:id="0">
    <w:p w14:paraId="503AE50F" w14:textId="77777777" w:rsidR="00ED17B8" w:rsidRDefault="00ED17B8" w:rsidP="007D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Mat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0E511" w14:textId="77777777" w:rsidR="00ED17B8" w:rsidRDefault="00ED17B8" w:rsidP="007D1D25">
      <w:r>
        <w:separator/>
      </w:r>
    </w:p>
  </w:footnote>
  <w:footnote w:type="continuationSeparator" w:id="0">
    <w:p w14:paraId="3B3E6115" w14:textId="77777777" w:rsidR="00ED17B8" w:rsidRDefault="00ED17B8" w:rsidP="007D1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34B"/>
    <w:multiLevelType w:val="hybridMultilevel"/>
    <w:tmpl w:val="EE9A2F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106FC"/>
    <w:multiLevelType w:val="hybridMultilevel"/>
    <w:tmpl w:val="459A7D68"/>
    <w:lvl w:ilvl="0" w:tplc="5FCA5E6A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795DA3"/>
    <w:multiLevelType w:val="hybridMultilevel"/>
    <w:tmpl w:val="115C6C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904CB"/>
    <w:multiLevelType w:val="multilevel"/>
    <w:tmpl w:val="9398B5EA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slov3"/>
      <w:lvlText w:val="%1.%2.%3"/>
      <w:lvlJc w:val="left"/>
      <w:pPr>
        <w:ind w:left="1145" w:hanging="720"/>
      </w:pPr>
      <w:rPr>
        <w:rFonts w:cs="Times New Roman" w:hint="default"/>
      </w:rPr>
    </w:lvl>
    <w:lvl w:ilvl="3">
      <w:start w:val="1"/>
      <w:numFmt w:val="decimal"/>
      <w:pStyle w:val="Naslov4"/>
      <w:lvlText w:val="%1.%2.%3.%4"/>
      <w:lvlJc w:val="left"/>
      <w:pPr>
        <w:ind w:left="6535" w:hanging="864"/>
      </w:pPr>
      <w:rPr>
        <w:rFonts w:cs="Times New Roman"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228B6A59"/>
    <w:multiLevelType w:val="hybridMultilevel"/>
    <w:tmpl w:val="F9AA9A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35A14"/>
    <w:multiLevelType w:val="hybridMultilevel"/>
    <w:tmpl w:val="D8A4B2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F4E32"/>
    <w:multiLevelType w:val="hybridMultilevel"/>
    <w:tmpl w:val="57B678CE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60C88"/>
    <w:multiLevelType w:val="hybridMultilevel"/>
    <w:tmpl w:val="D4EAD1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E37AA"/>
    <w:multiLevelType w:val="hybridMultilevel"/>
    <w:tmpl w:val="4C1E9B08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F540A"/>
    <w:multiLevelType w:val="hybridMultilevel"/>
    <w:tmpl w:val="A344E20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w w:val="99"/>
        <w:sz w:val="24"/>
        <w:szCs w:val="24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4E564BD"/>
    <w:multiLevelType w:val="hybridMultilevel"/>
    <w:tmpl w:val="3BE63926"/>
    <w:lvl w:ilvl="0" w:tplc="B6FA0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33C98"/>
    <w:multiLevelType w:val="hybridMultilevel"/>
    <w:tmpl w:val="B1DEF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F1C4E"/>
    <w:multiLevelType w:val="hybridMultilevel"/>
    <w:tmpl w:val="021C2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F4984"/>
    <w:multiLevelType w:val="hybridMultilevel"/>
    <w:tmpl w:val="C786F7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2217A"/>
    <w:multiLevelType w:val="hybridMultilevel"/>
    <w:tmpl w:val="B3AEB166"/>
    <w:lvl w:ilvl="0" w:tplc="041A0013">
      <w:start w:val="1"/>
      <w:numFmt w:val="upperRoman"/>
      <w:lvlText w:val="%1."/>
      <w:lvlJc w:val="righ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AC79E6"/>
    <w:multiLevelType w:val="hybridMultilevel"/>
    <w:tmpl w:val="D0667938"/>
    <w:lvl w:ilvl="0" w:tplc="40E4DA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E34308"/>
    <w:multiLevelType w:val="hybridMultilevel"/>
    <w:tmpl w:val="BE6CC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121"/>
    <w:multiLevelType w:val="hybridMultilevel"/>
    <w:tmpl w:val="63F8B9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033B4"/>
    <w:multiLevelType w:val="hybridMultilevel"/>
    <w:tmpl w:val="5B2AC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C42DB"/>
    <w:multiLevelType w:val="hybridMultilevel"/>
    <w:tmpl w:val="F9D069B8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B0CF9"/>
    <w:multiLevelType w:val="hybridMultilevel"/>
    <w:tmpl w:val="6ACA25EE"/>
    <w:lvl w:ilvl="0" w:tplc="1C7663BA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68AD715C"/>
    <w:multiLevelType w:val="hybridMultilevel"/>
    <w:tmpl w:val="283E4FD2"/>
    <w:lvl w:ilvl="0" w:tplc="38521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75E4D"/>
    <w:multiLevelType w:val="hybridMultilevel"/>
    <w:tmpl w:val="E49823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424C3"/>
    <w:multiLevelType w:val="hybridMultilevel"/>
    <w:tmpl w:val="B0460F3A"/>
    <w:lvl w:ilvl="0" w:tplc="8F8ECA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E6385"/>
    <w:multiLevelType w:val="hybridMultilevel"/>
    <w:tmpl w:val="9D843EF6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40742"/>
    <w:multiLevelType w:val="hybridMultilevel"/>
    <w:tmpl w:val="74B00E68"/>
    <w:lvl w:ilvl="0" w:tplc="3E2A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5C7278C"/>
    <w:multiLevelType w:val="multilevel"/>
    <w:tmpl w:val="B64C14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7CB7399"/>
    <w:multiLevelType w:val="hybridMultilevel"/>
    <w:tmpl w:val="1C925642"/>
    <w:lvl w:ilvl="0" w:tplc="64A208B2">
      <w:start w:val="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F58D2"/>
    <w:multiLevelType w:val="hybridMultilevel"/>
    <w:tmpl w:val="1FB49CC4"/>
    <w:lvl w:ilvl="0" w:tplc="D5884D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17C0E"/>
    <w:multiLevelType w:val="hybridMultilevel"/>
    <w:tmpl w:val="F89890EE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65782"/>
    <w:multiLevelType w:val="hybridMultilevel"/>
    <w:tmpl w:val="C29E9BC2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43402"/>
    <w:multiLevelType w:val="hybridMultilevel"/>
    <w:tmpl w:val="FC366990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70486C"/>
    <w:multiLevelType w:val="multilevel"/>
    <w:tmpl w:val="2914475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F763228"/>
    <w:multiLevelType w:val="hybridMultilevel"/>
    <w:tmpl w:val="BC42A1A4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088210">
    <w:abstractNumId w:val="7"/>
  </w:num>
  <w:num w:numId="2" w16cid:durableId="1710183940">
    <w:abstractNumId w:val="16"/>
  </w:num>
  <w:num w:numId="3" w16cid:durableId="1846359993">
    <w:abstractNumId w:val="2"/>
  </w:num>
  <w:num w:numId="4" w16cid:durableId="539246567">
    <w:abstractNumId w:val="22"/>
  </w:num>
  <w:num w:numId="5" w16cid:durableId="1692418689">
    <w:abstractNumId w:val="12"/>
  </w:num>
  <w:num w:numId="6" w16cid:durableId="1688360541">
    <w:abstractNumId w:val="5"/>
  </w:num>
  <w:num w:numId="7" w16cid:durableId="515656367">
    <w:abstractNumId w:val="14"/>
  </w:num>
  <w:num w:numId="8" w16cid:durableId="568459595">
    <w:abstractNumId w:val="17"/>
  </w:num>
  <w:num w:numId="9" w16cid:durableId="713315787">
    <w:abstractNumId w:val="9"/>
  </w:num>
  <w:num w:numId="10" w16cid:durableId="722563368">
    <w:abstractNumId w:val="18"/>
  </w:num>
  <w:num w:numId="11" w16cid:durableId="958220122">
    <w:abstractNumId w:val="25"/>
  </w:num>
  <w:num w:numId="12" w16cid:durableId="1459640564">
    <w:abstractNumId w:val="3"/>
  </w:num>
  <w:num w:numId="13" w16cid:durableId="204949255">
    <w:abstractNumId w:val="29"/>
  </w:num>
  <w:num w:numId="14" w16cid:durableId="550582647">
    <w:abstractNumId w:val="33"/>
  </w:num>
  <w:num w:numId="15" w16cid:durableId="465045961">
    <w:abstractNumId w:val="1"/>
  </w:num>
  <w:num w:numId="16" w16cid:durableId="344480192">
    <w:abstractNumId w:val="30"/>
  </w:num>
  <w:num w:numId="17" w16cid:durableId="757822293">
    <w:abstractNumId w:val="8"/>
  </w:num>
  <w:num w:numId="18" w16cid:durableId="167840500">
    <w:abstractNumId w:val="31"/>
  </w:num>
  <w:num w:numId="19" w16cid:durableId="1972638095">
    <w:abstractNumId w:val="24"/>
  </w:num>
  <w:num w:numId="20" w16cid:durableId="536235873">
    <w:abstractNumId w:val="6"/>
  </w:num>
  <w:num w:numId="21" w16cid:durableId="1313170883">
    <w:abstractNumId w:val="27"/>
  </w:num>
  <w:num w:numId="22" w16cid:durableId="78016786">
    <w:abstractNumId w:val="10"/>
  </w:num>
  <w:num w:numId="23" w16cid:durableId="323551520">
    <w:abstractNumId w:val="21"/>
  </w:num>
  <w:num w:numId="24" w16cid:durableId="329649378">
    <w:abstractNumId w:val="20"/>
  </w:num>
  <w:num w:numId="25" w16cid:durableId="581137747">
    <w:abstractNumId w:val="26"/>
  </w:num>
  <w:num w:numId="26" w16cid:durableId="1350570288">
    <w:abstractNumId w:val="32"/>
  </w:num>
  <w:num w:numId="27" w16cid:durableId="2002662895">
    <w:abstractNumId w:val="19"/>
  </w:num>
  <w:num w:numId="28" w16cid:durableId="80413246">
    <w:abstractNumId w:val="0"/>
  </w:num>
  <w:num w:numId="29" w16cid:durableId="1770810964">
    <w:abstractNumId w:val="13"/>
  </w:num>
  <w:num w:numId="30" w16cid:durableId="1222449575">
    <w:abstractNumId w:val="4"/>
  </w:num>
  <w:num w:numId="31" w16cid:durableId="299505460">
    <w:abstractNumId w:val="11"/>
  </w:num>
  <w:num w:numId="32" w16cid:durableId="1189026160">
    <w:abstractNumId w:val="15"/>
  </w:num>
  <w:num w:numId="33" w16cid:durableId="1415318352">
    <w:abstractNumId w:val="28"/>
  </w:num>
  <w:num w:numId="34" w16cid:durableId="15705730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BAA"/>
    <w:rsid w:val="00013CA7"/>
    <w:rsid w:val="0002124C"/>
    <w:rsid w:val="00023F3C"/>
    <w:rsid w:val="000558EC"/>
    <w:rsid w:val="00087C44"/>
    <w:rsid w:val="000936CB"/>
    <w:rsid w:val="000A5AB8"/>
    <w:rsid w:val="000C2F71"/>
    <w:rsid w:val="000D16FB"/>
    <w:rsid w:val="000D7627"/>
    <w:rsid w:val="000F07BD"/>
    <w:rsid w:val="000F4ED1"/>
    <w:rsid w:val="0010641A"/>
    <w:rsid w:val="00115859"/>
    <w:rsid w:val="00125E89"/>
    <w:rsid w:val="00134C19"/>
    <w:rsid w:val="00163AF0"/>
    <w:rsid w:val="001A2034"/>
    <w:rsid w:val="001D6DCA"/>
    <w:rsid w:val="00223385"/>
    <w:rsid w:val="00223800"/>
    <w:rsid w:val="0025769B"/>
    <w:rsid w:val="00277C77"/>
    <w:rsid w:val="002B69FB"/>
    <w:rsid w:val="002D048A"/>
    <w:rsid w:val="003268B6"/>
    <w:rsid w:val="00354CD2"/>
    <w:rsid w:val="00373BF3"/>
    <w:rsid w:val="00384912"/>
    <w:rsid w:val="00396FA7"/>
    <w:rsid w:val="003A1011"/>
    <w:rsid w:val="003C3C91"/>
    <w:rsid w:val="003E1BC0"/>
    <w:rsid w:val="004325DA"/>
    <w:rsid w:val="004340B3"/>
    <w:rsid w:val="00434A9B"/>
    <w:rsid w:val="004677E0"/>
    <w:rsid w:val="004B6FA5"/>
    <w:rsid w:val="004F1119"/>
    <w:rsid w:val="00500A57"/>
    <w:rsid w:val="00524DAE"/>
    <w:rsid w:val="00544A95"/>
    <w:rsid w:val="00595244"/>
    <w:rsid w:val="005F138A"/>
    <w:rsid w:val="00606BB6"/>
    <w:rsid w:val="00622C5C"/>
    <w:rsid w:val="006344D2"/>
    <w:rsid w:val="00696BCE"/>
    <w:rsid w:val="00696D5C"/>
    <w:rsid w:val="006B698F"/>
    <w:rsid w:val="006D664B"/>
    <w:rsid w:val="006F6571"/>
    <w:rsid w:val="00726CB2"/>
    <w:rsid w:val="00766ACA"/>
    <w:rsid w:val="00767081"/>
    <w:rsid w:val="00784FE5"/>
    <w:rsid w:val="0079020E"/>
    <w:rsid w:val="007A5606"/>
    <w:rsid w:val="007B1743"/>
    <w:rsid w:val="007B5139"/>
    <w:rsid w:val="007B69F5"/>
    <w:rsid w:val="007C30BA"/>
    <w:rsid w:val="007D1D25"/>
    <w:rsid w:val="007F3557"/>
    <w:rsid w:val="007F6C8A"/>
    <w:rsid w:val="00804D6E"/>
    <w:rsid w:val="00826FC0"/>
    <w:rsid w:val="00852785"/>
    <w:rsid w:val="00871247"/>
    <w:rsid w:val="00880960"/>
    <w:rsid w:val="00894ED8"/>
    <w:rsid w:val="008A3418"/>
    <w:rsid w:val="008F73B4"/>
    <w:rsid w:val="008F748E"/>
    <w:rsid w:val="00913D0E"/>
    <w:rsid w:val="00936E5C"/>
    <w:rsid w:val="0098732C"/>
    <w:rsid w:val="00987445"/>
    <w:rsid w:val="00991EC7"/>
    <w:rsid w:val="009C2F81"/>
    <w:rsid w:val="009E785C"/>
    <w:rsid w:val="00A453E1"/>
    <w:rsid w:val="00A54BAA"/>
    <w:rsid w:val="00A63CEC"/>
    <w:rsid w:val="00AC383E"/>
    <w:rsid w:val="00AC56C9"/>
    <w:rsid w:val="00AD6581"/>
    <w:rsid w:val="00AF37C8"/>
    <w:rsid w:val="00B1503D"/>
    <w:rsid w:val="00B21B10"/>
    <w:rsid w:val="00B315EF"/>
    <w:rsid w:val="00B33054"/>
    <w:rsid w:val="00B55DA5"/>
    <w:rsid w:val="00B6513F"/>
    <w:rsid w:val="00B73B9F"/>
    <w:rsid w:val="00B8417F"/>
    <w:rsid w:val="00B90E97"/>
    <w:rsid w:val="00B94B09"/>
    <w:rsid w:val="00BA1C54"/>
    <w:rsid w:val="00BC7C98"/>
    <w:rsid w:val="00C32727"/>
    <w:rsid w:val="00C34728"/>
    <w:rsid w:val="00C3620D"/>
    <w:rsid w:val="00C570E0"/>
    <w:rsid w:val="00C63277"/>
    <w:rsid w:val="00C90F4E"/>
    <w:rsid w:val="00C96562"/>
    <w:rsid w:val="00CA4AA0"/>
    <w:rsid w:val="00CE5364"/>
    <w:rsid w:val="00D2325E"/>
    <w:rsid w:val="00D31023"/>
    <w:rsid w:val="00D64A1A"/>
    <w:rsid w:val="00DA5F6D"/>
    <w:rsid w:val="00DB29CF"/>
    <w:rsid w:val="00DB751F"/>
    <w:rsid w:val="00DC5BFC"/>
    <w:rsid w:val="00DD1010"/>
    <w:rsid w:val="00DD135E"/>
    <w:rsid w:val="00DE3771"/>
    <w:rsid w:val="00DE6AC9"/>
    <w:rsid w:val="00DF30E6"/>
    <w:rsid w:val="00DF5C1D"/>
    <w:rsid w:val="00E0068A"/>
    <w:rsid w:val="00E0613F"/>
    <w:rsid w:val="00E34DD4"/>
    <w:rsid w:val="00E7418C"/>
    <w:rsid w:val="00E7507D"/>
    <w:rsid w:val="00E86167"/>
    <w:rsid w:val="00E90B73"/>
    <w:rsid w:val="00E9171A"/>
    <w:rsid w:val="00EA2583"/>
    <w:rsid w:val="00EA47E7"/>
    <w:rsid w:val="00EB6C06"/>
    <w:rsid w:val="00EC2E71"/>
    <w:rsid w:val="00ED17B8"/>
    <w:rsid w:val="00F16756"/>
    <w:rsid w:val="00F33ECC"/>
    <w:rsid w:val="00F61078"/>
    <w:rsid w:val="00F61EDD"/>
    <w:rsid w:val="00F63A78"/>
    <w:rsid w:val="00F9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C78F"/>
  <w15:chartTrackingRefBased/>
  <w15:docId w15:val="{AEBD6BE0-7C8B-45E1-A3A2-40E41CE4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BAA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paragraph" w:styleId="Naslov1">
    <w:name w:val="heading 1"/>
    <w:aliases w:val="Numbered - 1,Section"/>
    <w:basedOn w:val="Normal"/>
    <w:next w:val="Normal"/>
    <w:link w:val="Naslov1Char"/>
    <w:qFormat/>
    <w:rsid w:val="007D1D25"/>
    <w:pPr>
      <w:keepNext/>
      <w:keepLines/>
      <w:numPr>
        <w:numId w:val="12"/>
      </w:numPr>
      <w:spacing w:before="240" w:after="120" w:line="220" w:lineRule="atLeast"/>
      <w:jc w:val="both"/>
      <w:outlineLvl w:val="0"/>
    </w:pPr>
    <w:rPr>
      <w:rFonts w:ascii="Tahoma" w:eastAsiaTheme="minorEastAsia" w:hAnsi="Tahoma" w:cs="Times New Roman"/>
      <w:b/>
      <w:caps/>
      <w:sz w:val="22"/>
      <w:szCs w:val="32"/>
      <w:lang w:eastAsia="en-US"/>
    </w:rPr>
  </w:style>
  <w:style w:type="paragraph" w:styleId="Naslov2">
    <w:name w:val="heading 2"/>
    <w:basedOn w:val="Normal"/>
    <w:next w:val="Normal"/>
    <w:link w:val="Naslov2Char"/>
    <w:unhideWhenUsed/>
    <w:qFormat/>
    <w:rsid w:val="007D1D25"/>
    <w:pPr>
      <w:keepNext/>
      <w:keepLines/>
      <w:numPr>
        <w:ilvl w:val="1"/>
        <w:numId w:val="12"/>
      </w:numPr>
      <w:spacing w:before="240" w:after="240" w:line="220" w:lineRule="atLeast"/>
      <w:jc w:val="both"/>
      <w:outlineLvl w:val="1"/>
    </w:pPr>
    <w:rPr>
      <w:rFonts w:ascii="Tahoma" w:eastAsiaTheme="minorEastAsia" w:hAnsi="Tahoma" w:cs="Times New Roman"/>
      <w:b/>
      <w:szCs w:val="26"/>
      <w:lang w:eastAsia="en-US"/>
    </w:rPr>
  </w:style>
  <w:style w:type="paragraph" w:styleId="Naslov3">
    <w:name w:val="heading 3"/>
    <w:basedOn w:val="Normal"/>
    <w:next w:val="Normal"/>
    <w:link w:val="Naslov3Char"/>
    <w:unhideWhenUsed/>
    <w:qFormat/>
    <w:rsid w:val="007D1D25"/>
    <w:pPr>
      <w:keepNext/>
      <w:keepLines/>
      <w:numPr>
        <w:ilvl w:val="2"/>
        <w:numId w:val="12"/>
      </w:numPr>
      <w:spacing w:before="120" w:after="120" w:line="220" w:lineRule="atLeast"/>
      <w:ind w:left="720"/>
      <w:jc w:val="both"/>
      <w:outlineLvl w:val="2"/>
    </w:pPr>
    <w:rPr>
      <w:rFonts w:ascii="Tahoma" w:eastAsiaTheme="minorEastAsia" w:hAnsi="Tahoma" w:cs="Times New Roman"/>
      <w:b/>
      <w:szCs w:val="24"/>
      <w:lang w:eastAsia="en-US"/>
    </w:rPr>
  </w:style>
  <w:style w:type="paragraph" w:styleId="Naslov4">
    <w:name w:val="heading 4"/>
    <w:basedOn w:val="Normal"/>
    <w:next w:val="Normal"/>
    <w:link w:val="Naslov4Char"/>
    <w:unhideWhenUsed/>
    <w:qFormat/>
    <w:rsid w:val="007D1D25"/>
    <w:pPr>
      <w:keepNext/>
      <w:keepLines/>
      <w:numPr>
        <w:ilvl w:val="3"/>
        <w:numId w:val="12"/>
      </w:numPr>
      <w:spacing w:before="120" w:after="120" w:line="240" w:lineRule="atLeast"/>
      <w:ind w:left="862" w:hanging="862"/>
      <w:outlineLvl w:val="3"/>
    </w:pPr>
    <w:rPr>
      <w:rFonts w:ascii="Tahoma" w:eastAsiaTheme="minorEastAsia" w:hAnsi="Tahoma" w:cs="Times New Roman"/>
      <w:b/>
      <w:i/>
      <w:iCs/>
      <w:szCs w:val="22"/>
      <w:lang w:eastAsia="en-US"/>
    </w:rPr>
  </w:style>
  <w:style w:type="paragraph" w:styleId="Naslov5">
    <w:name w:val="heading 5"/>
    <w:basedOn w:val="Normal"/>
    <w:next w:val="Normal"/>
    <w:link w:val="Naslov5Char"/>
    <w:unhideWhenUsed/>
    <w:qFormat/>
    <w:rsid w:val="007D1D25"/>
    <w:pPr>
      <w:keepNext/>
      <w:keepLines/>
      <w:numPr>
        <w:ilvl w:val="4"/>
        <w:numId w:val="12"/>
      </w:numPr>
      <w:spacing w:before="120" w:after="120" w:line="220" w:lineRule="atLeast"/>
      <w:jc w:val="both"/>
      <w:outlineLvl w:val="4"/>
    </w:pPr>
    <w:rPr>
      <w:rFonts w:ascii="Tahoma" w:eastAsiaTheme="minorEastAsia" w:hAnsi="Tahoma" w:cs="Times New Roman"/>
      <w:i/>
      <w:szCs w:val="22"/>
      <w:lang w:eastAsia="en-US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7D1D25"/>
    <w:pPr>
      <w:keepNext/>
      <w:keepLines/>
      <w:numPr>
        <w:ilvl w:val="5"/>
        <w:numId w:val="12"/>
      </w:numPr>
      <w:spacing w:before="40" w:after="120" w:line="220" w:lineRule="atLeast"/>
      <w:jc w:val="both"/>
      <w:outlineLvl w:val="5"/>
    </w:pPr>
    <w:rPr>
      <w:rFonts w:ascii="Calibri Light" w:eastAsiaTheme="minorEastAsia" w:hAnsi="Calibri Light" w:cs="Times New Roman"/>
      <w:color w:val="1F3763"/>
      <w:szCs w:val="22"/>
      <w:lang w:eastAsia="en-US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7D1D25"/>
    <w:pPr>
      <w:keepNext/>
      <w:keepLines/>
      <w:numPr>
        <w:ilvl w:val="6"/>
        <w:numId w:val="12"/>
      </w:numPr>
      <w:spacing w:before="40" w:after="120" w:line="220" w:lineRule="atLeast"/>
      <w:jc w:val="both"/>
      <w:outlineLvl w:val="6"/>
    </w:pPr>
    <w:rPr>
      <w:rFonts w:ascii="Calibri Light" w:eastAsiaTheme="minorEastAsia" w:hAnsi="Calibri Light" w:cs="Times New Roman"/>
      <w:i/>
      <w:iCs/>
      <w:color w:val="1F3763"/>
      <w:szCs w:val="22"/>
      <w:lang w:eastAsia="en-US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7D1D25"/>
    <w:pPr>
      <w:keepNext/>
      <w:keepLines/>
      <w:numPr>
        <w:ilvl w:val="7"/>
        <w:numId w:val="12"/>
      </w:numPr>
      <w:spacing w:before="40" w:after="120" w:line="220" w:lineRule="atLeast"/>
      <w:jc w:val="both"/>
      <w:outlineLvl w:val="7"/>
    </w:pPr>
    <w:rPr>
      <w:rFonts w:ascii="Calibri Light" w:eastAsiaTheme="minorEastAsia" w:hAnsi="Calibri Light" w:cs="Times New Roman"/>
      <w:color w:val="272727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7D1D25"/>
    <w:pPr>
      <w:keepNext/>
      <w:keepLines/>
      <w:numPr>
        <w:ilvl w:val="8"/>
        <w:numId w:val="12"/>
      </w:numPr>
      <w:spacing w:before="40" w:after="120" w:line="220" w:lineRule="atLeast"/>
      <w:jc w:val="both"/>
      <w:outlineLvl w:val="8"/>
    </w:pPr>
    <w:rPr>
      <w:rFonts w:ascii="Calibri Light" w:eastAsiaTheme="minorEastAsia" w:hAnsi="Calibri Light" w:cs="Times New Roman"/>
      <w:i/>
      <w:iCs/>
      <w:color w:val="272727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OdlomakpopisaChar">
    <w:name w:val="Odlomak popisa Char"/>
    <w:aliases w:val="Paragraph Char,List Paragraph Red Char,lp1 Char,TG lista Char,Heading 12 Char,naslov 1 Char,Naslov 11 Char,Naslov 12 Char,Graf Char,Paragraphe de liste PBLH Char,Graph &amp; Table tite Char,Normal bullet 2 Char,Bullet list Char"/>
    <w:link w:val="Odlomakpopisa"/>
    <w:uiPriority w:val="34"/>
    <w:qFormat/>
    <w:locked/>
    <w:rsid w:val="00A54BAA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Odlomakpopisa">
    <w:name w:val="List Paragraph"/>
    <w:aliases w:val="Paragraph,List Paragraph Red,lp1,TG lista,Heading 12,naslov 1,Naslov 11,Naslov 12,Graf,Paragraphe de liste PBLH,Graph &amp; Table tite,Normal bullet 2,Bullet list,Figure_name,Equipment,Numbered Indented Text,List Paragraph11,heading 1,Graf1"/>
    <w:basedOn w:val="Normal"/>
    <w:link w:val="OdlomakpopisaChar"/>
    <w:uiPriority w:val="34"/>
    <w:qFormat/>
    <w:rsid w:val="00A54BAA"/>
    <w:pPr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lang w:val="en-GB"/>
    </w:rPr>
  </w:style>
  <w:style w:type="character" w:customStyle="1" w:styleId="Naslov1Char">
    <w:name w:val="Naslov 1 Char"/>
    <w:aliases w:val="Numbered - 1 Char,Section Char"/>
    <w:basedOn w:val="Zadanifontodlomka"/>
    <w:link w:val="Naslov1"/>
    <w:rsid w:val="007D1D25"/>
    <w:rPr>
      <w:rFonts w:ascii="Tahoma" w:eastAsiaTheme="minorEastAsia" w:hAnsi="Tahoma" w:cs="Times New Roman"/>
      <w:b/>
      <w:caps/>
      <w:szCs w:val="32"/>
    </w:rPr>
  </w:style>
  <w:style w:type="character" w:customStyle="1" w:styleId="Naslov2Char">
    <w:name w:val="Naslov 2 Char"/>
    <w:basedOn w:val="Zadanifontodlomka"/>
    <w:link w:val="Naslov2"/>
    <w:rsid w:val="007D1D25"/>
    <w:rPr>
      <w:rFonts w:ascii="Tahoma" w:eastAsiaTheme="minorEastAsia" w:hAnsi="Tahoma" w:cs="Times New Roman"/>
      <w:b/>
      <w:sz w:val="20"/>
      <w:szCs w:val="26"/>
    </w:rPr>
  </w:style>
  <w:style w:type="character" w:customStyle="1" w:styleId="Naslov3Char">
    <w:name w:val="Naslov 3 Char"/>
    <w:basedOn w:val="Zadanifontodlomka"/>
    <w:link w:val="Naslov3"/>
    <w:rsid w:val="007D1D25"/>
    <w:rPr>
      <w:rFonts w:ascii="Tahoma" w:eastAsiaTheme="minorEastAsia" w:hAnsi="Tahoma" w:cs="Times New Roman"/>
      <w:b/>
      <w:sz w:val="20"/>
      <w:szCs w:val="24"/>
    </w:rPr>
  </w:style>
  <w:style w:type="character" w:customStyle="1" w:styleId="Naslov4Char">
    <w:name w:val="Naslov 4 Char"/>
    <w:basedOn w:val="Zadanifontodlomka"/>
    <w:link w:val="Naslov4"/>
    <w:rsid w:val="007D1D25"/>
    <w:rPr>
      <w:rFonts w:ascii="Tahoma" w:eastAsiaTheme="minorEastAsia" w:hAnsi="Tahoma" w:cs="Times New Roman"/>
      <w:b/>
      <w:i/>
      <w:iCs/>
      <w:sz w:val="20"/>
    </w:rPr>
  </w:style>
  <w:style w:type="character" w:customStyle="1" w:styleId="Naslov5Char">
    <w:name w:val="Naslov 5 Char"/>
    <w:basedOn w:val="Zadanifontodlomka"/>
    <w:link w:val="Naslov5"/>
    <w:rsid w:val="007D1D25"/>
    <w:rPr>
      <w:rFonts w:ascii="Tahoma" w:eastAsiaTheme="minorEastAsia" w:hAnsi="Tahoma" w:cs="Times New Roman"/>
      <w:i/>
      <w:sz w:val="20"/>
    </w:rPr>
  </w:style>
  <w:style w:type="character" w:customStyle="1" w:styleId="Naslov6Char">
    <w:name w:val="Naslov 6 Char"/>
    <w:basedOn w:val="Zadanifontodlomka"/>
    <w:link w:val="Naslov6"/>
    <w:semiHidden/>
    <w:rsid w:val="007D1D25"/>
    <w:rPr>
      <w:rFonts w:ascii="Calibri Light" w:eastAsiaTheme="minorEastAsia" w:hAnsi="Calibri Light" w:cs="Times New Roman"/>
      <w:color w:val="1F3763"/>
      <w:sz w:val="20"/>
    </w:rPr>
  </w:style>
  <w:style w:type="character" w:customStyle="1" w:styleId="Naslov7Char">
    <w:name w:val="Naslov 7 Char"/>
    <w:basedOn w:val="Zadanifontodlomka"/>
    <w:link w:val="Naslov7"/>
    <w:semiHidden/>
    <w:rsid w:val="007D1D25"/>
    <w:rPr>
      <w:rFonts w:ascii="Calibri Light" w:eastAsiaTheme="minorEastAsia" w:hAnsi="Calibri Light" w:cs="Times New Roman"/>
      <w:i/>
      <w:iCs/>
      <w:color w:val="1F3763"/>
      <w:sz w:val="20"/>
    </w:rPr>
  </w:style>
  <w:style w:type="character" w:customStyle="1" w:styleId="Naslov8Char">
    <w:name w:val="Naslov 8 Char"/>
    <w:basedOn w:val="Zadanifontodlomka"/>
    <w:link w:val="Naslov8"/>
    <w:semiHidden/>
    <w:rsid w:val="007D1D25"/>
    <w:rPr>
      <w:rFonts w:ascii="Calibri Light" w:eastAsiaTheme="minorEastAsia" w:hAnsi="Calibri Light" w:cs="Times New Roman"/>
      <w:color w:val="272727"/>
      <w:sz w:val="21"/>
      <w:szCs w:val="21"/>
    </w:rPr>
  </w:style>
  <w:style w:type="character" w:customStyle="1" w:styleId="Naslov9Char">
    <w:name w:val="Naslov 9 Char"/>
    <w:basedOn w:val="Zadanifontodlomka"/>
    <w:link w:val="Naslov9"/>
    <w:semiHidden/>
    <w:rsid w:val="007D1D25"/>
    <w:rPr>
      <w:rFonts w:ascii="Calibri Light" w:eastAsiaTheme="minorEastAsia" w:hAnsi="Calibri Light" w:cs="Times New Roman"/>
      <w:i/>
      <w:iCs/>
      <w:color w:val="272727"/>
      <w:sz w:val="21"/>
      <w:szCs w:val="21"/>
    </w:rPr>
  </w:style>
  <w:style w:type="paragraph" w:styleId="Tekstfusnote">
    <w:name w:val="footnote text"/>
    <w:aliases w:val=" Footnote,Char Char,Sprotna opomba - besedilo Znak1,Sprotna opomba - besedilo Znak Znak2,Sprotna opomba - besedilo Znak1 Znak Znak1,Sprotna opomba - besedilo Znak1 Znak Znak Znak,Sprotna opomba - besedilo Znak Znak Znak Znak Znak"/>
    <w:basedOn w:val="Normal"/>
    <w:link w:val="TekstfusnoteChar"/>
    <w:uiPriority w:val="99"/>
    <w:unhideWhenUsed/>
    <w:rsid w:val="007D1D25"/>
    <w:pPr>
      <w:spacing w:after="120" w:line="276" w:lineRule="auto"/>
      <w:jc w:val="both"/>
    </w:pPr>
    <w:rPr>
      <w:rFonts w:ascii="Tahoma" w:eastAsiaTheme="minorEastAsia" w:hAnsi="Tahoma" w:cs="Times New Roman"/>
    </w:rPr>
  </w:style>
  <w:style w:type="character" w:customStyle="1" w:styleId="TekstfusnoteChar">
    <w:name w:val="Tekst fusnote Char"/>
    <w:aliases w:val=" Footnote Char,Char Char Char,Sprotna opomba - besedilo Znak1 Char,Sprotna opomba - besedilo Znak Znak2 Char,Sprotna opomba - besedilo Znak1 Znak Znak1 Char,Sprotna opomba - besedilo Znak1 Znak Znak Znak Char"/>
    <w:basedOn w:val="Zadanifontodlomka"/>
    <w:link w:val="Tekstfusnote"/>
    <w:uiPriority w:val="99"/>
    <w:rsid w:val="007D1D25"/>
    <w:rPr>
      <w:rFonts w:ascii="Tahoma" w:eastAsiaTheme="minorEastAsia" w:hAnsi="Tahoma" w:cs="Times New Roman"/>
      <w:sz w:val="20"/>
      <w:szCs w:val="20"/>
      <w:lang w:eastAsia="hr-HR"/>
    </w:rPr>
  </w:style>
  <w:style w:type="character" w:styleId="Referencafusnote">
    <w:name w:val="footnote reference"/>
    <w:aliases w:val="Footnote symbol,Footnote,Fussnota,BVI fnr"/>
    <w:basedOn w:val="Zadanifontodlomka"/>
    <w:uiPriority w:val="99"/>
    <w:rsid w:val="007D1D25"/>
    <w:rPr>
      <w:rFonts w:cs="Times New Roman"/>
      <w:vertAlign w:val="superscript"/>
    </w:rPr>
  </w:style>
  <w:style w:type="paragraph" w:customStyle="1" w:styleId="Default">
    <w:name w:val="Default"/>
    <w:rsid w:val="00B8417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B29C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29CF"/>
    <w:rPr>
      <w:rFonts w:ascii="Segoe UI" w:eastAsia="Calibri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B55DA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55DA5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B55DA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55DA5"/>
    <w:rPr>
      <w:rFonts w:ascii="Calibri" w:eastAsia="Calibri" w:hAnsi="Calibri" w:cs="Arial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1D3BF9-A504-4953-8D91-7FFCCB8606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AA7EBA-DDD1-4DAF-B91A-B7C359CFA235}">
  <ds:schemaRefs>
    <ds:schemaRef ds:uri="http://schemas.microsoft.com/office/2006/metadata/properties"/>
    <ds:schemaRef ds:uri="http://schemas.microsoft.com/office/infopath/2007/PartnerControls"/>
    <ds:schemaRef ds:uri="42d7e707-ee03-456a-83d2-102cd0be6e52"/>
    <ds:schemaRef ds:uri="60349ba4-5549-43bd-80ad-1e1eb7554baa"/>
  </ds:schemaRefs>
</ds:datastoreItem>
</file>

<file path=customXml/itemProps3.xml><?xml version="1.0" encoding="utf-8"?>
<ds:datastoreItem xmlns:ds="http://schemas.openxmlformats.org/officeDocument/2006/customXml" ds:itemID="{807A068D-452C-4DA6-88C9-1B7127BA3688}"/>
</file>

<file path=customXml/itemProps4.xml><?xml version="1.0" encoding="utf-8"?>
<ds:datastoreItem xmlns:ds="http://schemas.openxmlformats.org/officeDocument/2006/customXml" ds:itemID="{C5FF5157-9F1E-4BC4-855D-E913CCEEDE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Nemet Đurđević</dc:creator>
  <cp:keywords/>
  <dc:description/>
  <cp:lastModifiedBy>Ana Brandeis</cp:lastModifiedBy>
  <cp:revision>8</cp:revision>
  <cp:lastPrinted>2026-01-14T13:25:00Z</cp:lastPrinted>
  <dcterms:created xsi:type="dcterms:W3CDTF">2026-03-02T13:45:00Z</dcterms:created>
  <dcterms:modified xsi:type="dcterms:W3CDTF">2026-03-04T06:52:00Z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